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FFD" w:rsidRDefault="004678EA" w:rsidP="004678EA">
      <w:pPr>
        <w:pStyle w:val="Heading1"/>
      </w:pPr>
      <w:r>
        <w:t>Detailed methodology</w:t>
      </w:r>
    </w:p>
    <w:p w:rsidR="0084066E" w:rsidRDefault="004678EA" w:rsidP="0084066E">
      <w:r w:rsidRPr="001B5767">
        <w:t>This section outlines the methodology used for the assessment</w:t>
      </w:r>
      <w:r>
        <w:t xml:space="preserve">. </w:t>
      </w:r>
    </w:p>
    <w:p w:rsidR="004678EA" w:rsidRPr="001B5767" w:rsidRDefault="004678EA" w:rsidP="0084066E">
      <w:pPr>
        <w:pStyle w:val="Heading2"/>
      </w:pPr>
      <w:r w:rsidRPr="001B5767">
        <w:t>Selection of the target area</w:t>
      </w:r>
    </w:p>
    <w:p w:rsidR="004678EA" w:rsidRPr="001B5767" w:rsidRDefault="004678EA" w:rsidP="004678EA">
      <w:r w:rsidRPr="001B5767">
        <w:rPr>
          <w:lang w:val="en-US"/>
        </w:rPr>
        <w:t>Given the size of the City of Padang, the number of damaged houses</w:t>
      </w:r>
      <w:r w:rsidRPr="001B5767">
        <w:rPr>
          <w:rStyle w:val="FootnoteReference"/>
          <w:lang w:val="en-US"/>
        </w:rPr>
        <w:footnoteReference w:id="2"/>
      </w:r>
      <w:r w:rsidRPr="001B5767">
        <w:rPr>
          <w:lang w:val="en-US"/>
        </w:rPr>
        <w:t xml:space="preserve">, and the relatively short period to carry out the assessment, an approach was adopted that targeted Community </w:t>
      </w:r>
      <w:r w:rsidRPr="001B5767">
        <w:t xml:space="preserve">Neighbourhood </w:t>
      </w:r>
      <w:r w:rsidRPr="001B5767">
        <w:rPr>
          <w:lang w:val="en-US"/>
        </w:rPr>
        <w:t xml:space="preserve">Units (RT) in a random selection of </w:t>
      </w:r>
      <w:r w:rsidRPr="001B5767">
        <w:rPr>
          <w:i/>
          <w:lang w:val="en-US"/>
        </w:rPr>
        <w:t>Kelurahan</w:t>
      </w:r>
      <w:r w:rsidRPr="001B5767">
        <w:rPr>
          <w:lang w:val="en-US"/>
        </w:rPr>
        <w:t xml:space="preserve"> within the 11 </w:t>
      </w:r>
      <w:r w:rsidRPr="001B5767">
        <w:rPr>
          <w:i/>
          <w:lang w:val="en-US"/>
        </w:rPr>
        <w:t>Kecamatan</w:t>
      </w:r>
      <w:r w:rsidRPr="001B5767">
        <w:rPr>
          <w:lang w:val="en-US"/>
        </w:rPr>
        <w:t>. The assessment looked at those residing in severely or moderately damaged houses; lightly damaged houses were omitted</w:t>
      </w:r>
      <w:r w:rsidRPr="001B5767">
        <w:rPr>
          <w:rStyle w:val="FootnoteReference"/>
          <w:lang w:val="en-US"/>
        </w:rPr>
        <w:footnoteReference w:id="3"/>
      </w:r>
      <w:r w:rsidRPr="001B5767">
        <w:rPr>
          <w:lang w:val="en-US"/>
        </w:rPr>
        <w:t xml:space="preserve">. </w:t>
      </w:r>
    </w:p>
    <w:p w:rsidR="004678EA" w:rsidRPr="001B5767" w:rsidRDefault="004678EA" w:rsidP="004678EA">
      <w:r w:rsidRPr="001B5767">
        <w:t xml:space="preserve">The </w:t>
      </w:r>
      <w:r w:rsidRPr="001B5767">
        <w:rPr>
          <w:i/>
        </w:rPr>
        <w:t>Badan Pendukung Rehabilitasi dan Rekonstuksi</w:t>
      </w:r>
      <w:r w:rsidRPr="001B5767">
        <w:t xml:space="preserve"> (BPRR)</w:t>
      </w:r>
      <w:r w:rsidRPr="001B5767">
        <w:rPr>
          <w:lang w:val="en-US"/>
        </w:rPr>
        <w:t xml:space="preserve">, </w:t>
      </w:r>
      <w:r w:rsidRPr="001B5767">
        <w:t>responsible for coordinating the Rehabilitation and Reconstruction Recovery Process in West-Sumatra,</w:t>
      </w:r>
      <w:r w:rsidRPr="001B5767">
        <w:rPr>
          <w:lang w:val="en-US"/>
        </w:rPr>
        <w:t xml:space="preserve"> </w:t>
      </w:r>
      <w:r w:rsidRPr="001B5767">
        <w:t xml:space="preserve">identified 423 </w:t>
      </w:r>
      <w:r w:rsidRPr="001B5767">
        <w:rPr>
          <w:lang w:val="en-US"/>
        </w:rPr>
        <w:t xml:space="preserve">Community </w:t>
      </w:r>
      <w:r w:rsidRPr="001B5767">
        <w:t xml:space="preserve">Neighbourhood </w:t>
      </w:r>
      <w:r w:rsidRPr="001B5767">
        <w:rPr>
          <w:lang w:val="en-US"/>
        </w:rPr>
        <w:t>Units (RTs)</w:t>
      </w:r>
      <w:r w:rsidRPr="001B5767">
        <w:t xml:space="preserve"> to be the most heavily damaged. These 423 RTs all had at least 50% severely and moderately damaged houses, corresponding to 15,679 houses. In order to attain a statistically relevant sample of these damaged RTs, the assessment had to assess at least 10% of the 423 RTs. At the request of the assessment team</w:t>
      </w:r>
      <w:r w:rsidRPr="001B5767">
        <w:rPr>
          <w:lang w:val="en-US"/>
        </w:rPr>
        <w:t>, the BPRR kindly produced a list of</w:t>
      </w:r>
      <w:r w:rsidRPr="001B5767">
        <w:t xml:space="preserve"> 50 RTs </w:t>
      </w:r>
      <w:r w:rsidRPr="001B5767">
        <w:rPr>
          <w:lang w:val="en-US"/>
        </w:rPr>
        <w:t xml:space="preserve">which would provide an accurate sample of The City of Padang. </w:t>
      </w:r>
      <w:r w:rsidRPr="001B5767">
        <w:t>The BPRR team also provided a list of 25 other RTs in the event that some of the initial RTs selected did not meet the assessment criteria</w:t>
      </w:r>
      <w:r w:rsidRPr="001B5767">
        <w:rPr>
          <w:rStyle w:val="FootnoteReference"/>
        </w:rPr>
        <w:footnoteReference w:id="4"/>
      </w:r>
      <w:r w:rsidRPr="001B5767">
        <w:t xml:space="preserve">. </w:t>
      </w:r>
    </w:p>
    <w:p w:rsidR="004678EA" w:rsidRPr="001B5767" w:rsidRDefault="004678EA" w:rsidP="004678EA">
      <w:r w:rsidRPr="001B5767">
        <w:t xml:space="preserve">When selecting the number of RTs per </w:t>
      </w:r>
      <w:r w:rsidRPr="001B5767">
        <w:rPr>
          <w:i/>
        </w:rPr>
        <w:t>Kecamatan</w:t>
      </w:r>
      <w:r w:rsidRPr="001B5767">
        <w:t xml:space="preserve"> to be assessed, the total number of RTs per </w:t>
      </w:r>
      <w:r w:rsidRPr="001B5767">
        <w:rPr>
          <w:i/>
        </w:rPr>
        <w:t>Kecamatan</w:t>
      </w:r>
      <w:r w:rsidRPr="001B5767">
        <w:t xml:space="preserve"> was divided by the 423 RTs identified, and multiplied by the 75 RTs targeted, as per the formula below:</w:t>
      </w:r>
    </w:p>
    <w:p w:rsidR="004678EA" w:rsidRPr="001B5767" w:rsidRDefault="004678EA" w:rsidP="004678EA">
      <w:pPr>
        <w:pStyle w:val="Caption"/>
      </w:pPr>
      <w:r w:rsidRPr="001B5767">
        <w:t xml:space="preserve">Figure </w:t>
      </w:r>
      <w:fldSimple w:instr=" SEQ Figure \* ARABIC ">
        <w:r>
          <w:rPr>
            <w:noProof/>
          </w:rPr>
          <w:t>1</w:t>
        </w:r>
      </w:fldSimple>
      <w:r w:rsidRPr="001B5767">
        <w:t>: formula used for calculating number of RTs to be assessed</w:t>
      </w:r>
    </w:p>
    <w:p w:rsidR="004678EA" w:rsidRPr="001B5767" w:rsidRDefault="004678EA" w:rsidP="004678EA">
      <w:pPr>
        <w:ind w:left="1429" w:firstLine="11"/>
        <w:rPr>
          <w:i/>
        </w:rPr>
      </w:pPr>
      <w:r w:rsidRPr="001B5767">
        <w:rPr>
          <w:i/>
        </w:rPr>
        <w:t>RT per Kecamatan/423RT    X  75 RT = Number of RT to assess per Kecamatan</w:t>
      </w:r>
    </w:p>
    <w:p w:rsidR="004678EA" w:rsidRPr="001B5767" w:rsidRDefault="004678EA" w:rsidP="004678EA">
      <w:pPr>
        <w:pStyle w:val="Heading2"/>
      </w:pPr>
      <w:r w:rsidRPr="001B5767">
        <w:t>Target area and number of interview</w:t>
      </w:r>
    </w:p>
    <w:p w:rsidR="004678EA" w:rsidRPr="001B5767" w:rsidRDefault="004678EA" w:rsidP="004678EA">
      <w:r w:rsidRPr="001B5767">
        <w:rPr>
          <w:lang w:val="en-US"/>
        </w:rPr>
        <w:t xml:space="preserve">The </w:t>
      </w:r>
      <w:r w:rsidRPr="001B5767">
        <w:t xml:space="preserve">assessment was conducted in 52 RTs over 34 </w:t>
      </w:r>
      <w:r w:rsidRPr="001B5767">
        <w:rPr>
          <w:i/>
        </w:rPr>
        <w:t>Kelurahan</w:t>
      </w:r>
      <w:r w:rsidRPr="001B5767">
        <w:t xml:space="preserve"> in 11 </w:t>
      </w:r>
      <w:r w:rsidRPr="001B5767">
        <w:rPr>
          <w:i/>
        </w:rPr>
        <w:t>Kecamatan</w:t>
      </w:r>
      <w:r w:rsidRPr="001B5767">
        <w:t>. 2,114 households were interviewed, encompassing a wide range of socio-economic factors</w:t>
      </w:r>
      <w:r w:rsidRPr="001B5767">
        <w:rPr>
          <w:rStyle w:val="FootnoteReference"/>
        </w:rPr>
        <w:footnoteReference w:id="5"/>
      </w:r>
      <w:r w:rsidRPr="001B5767">
        <w:t>.</w:t>
      </w:r>
    </w:p>
    <w:p w:rsidR="004678EA" w:rsidRPr="001B5767" w:rsidRDefault="004678EA" w:rsidP="004678EA">
      <w:pPr>
        <w:pStyle w:val="Caption"/>
      </w:pPr>
      <w:r w:rsidRPr="001B5767">
        <w:lastRenderedPageBreak/>
        <w:t xml:space="preserve">Figure </w:t>
      </w:r>
      <w:fldSimple w:instr=" SEQ Figure \* ARABIC ">
        <w:r>
          <w:rPr>
            <w:noProof/>
          </w:rPr>
          <w:t>2</w:t>
        </w:r>
      </w:fldSimple>
      <w:r w:rsidRPr="001B5767">
        <w:t xml:space="preserve">: number and distribution of 2,114 household interviews per </w:t>
      </w:r>
      <w:r w:rsidRPr="001B5767">
        <w:rPr>
          <w:i/>
        </w:rPr>
        <w:t>Kecamatan</w:t>
      </w:r>
    </w:p>
    <w:p w:rsidR="004678EA" w:rsidRPr="001B5767" w:rsidRDefault="004678EA" w:rsidP="004678EA">
      <w:pPr>
        <w:pStyle w:val="Chart"/>
      </w:pPr>
      <w:r w:rsidRPr="001B5767">
        <w:drawing>
          <wp:inline distT="0" distB="0" distL="0" distR="0">
            <wp:extent cx="5172075" cy="2686050"/>
            <wp:effectExtent l="19050" t="0" r="9525" b="0"/>
            <wp:docPr id="4" name="Char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
                    <pic:cNvPicPr>
                      <a:picLocks noChangeArrowheads="1"/>
                    </pic:cNvPicPr>
                  </pic:nvPicPr>
                  <pic:blipFill>
                    <a:blip r:embed="rId9"/>
                    <a:srcRect l="5237" t="17514" r="9628" b="7384"/>
                    <a:stretch>
                      <a:fillRect/>
                    </a:stretch>
                  </pic:blipFill>
                  <pic:spPr bwMode="auto">
                    <a:xfrm>
                      <a:off x="0" y="0"/>
                      <a:ext cx="5172075" cy="2686050"/>
                    </a:xfrm>
                    <a:prstGeom prst="rect">
                      <a:avLst/>
                    </a:prstGeom>
                    <a:noFill/>
                    <a:ln w="9525">
                      <a:noFill/>
                      <a:miter lim="800000"/>
                      <a:headEnd/>
                      <a:tailEnd/>
                    </a:ln>
                  </pic:spPr>
                </pic:pic>
              </a:graphicData>
            </a:graphic>
          </wp:inline>
        </w:drawing>
      </w:r>
    </w:p>
    <w:p w:rsidR="004678EA" w:rsidRPr="001B5767" w:rsidRDefault="004678EA" w:rsidP="004678EA">
      <w:pPr>
        <w:rPr>
          <w:lang w:val="en-US"/>
        </w:rPr>
      </w:pPr>
      <w:r w:rsidRPr="001B5767">
        <w:rPr>
          <w:lang w:val="en-US"/>
        </w:rPr>
        <w:t xml:space="preserve">The number and percentage of interviews vary from one </w:t>
      </w:r>
      <w:r w:rsidRPr="001B5767">
        <w:rPr>
          <w:i/>
          <w:lang w:val="en-US"/>
        </w:rPr>
        <w:t>Kecamatan</w:t>
      </w:r>
      <w:r w:rsidRPr="001B5767">
        <w:rPr>
          <w:lang w:val="en-US"/>
        </w:rPr>
        <w:t xml:space="preserve"> to another for the following reasons:</w:t>
      </w:r>
    </w:p>
    <w:p w:rsidR="004678EA" w:rsidRPr="001B5767" w:rsidRDefault="004678EA" w:rsidP="004678EA">
      <w:pPr>
        <w:pStyle w:val="ListParagraph"/>
      </w:pPr>
      <w:r w:rsidRPr="001B5767">
        <w:t xml:space="preserve">the total number of RT per </w:t>
      </w:r>
      <w:r w:rsidRPr="001B5767">
        <w:rPr>
          <w:i/>
        </w:rPr>
        <w:t>Kecamatan</w:t>
      </w:r>
      <w:r w:rsidRPr="001B5767">
        <w:t xml:space="preserve"> are different, according to the formula in </w:t>
      </w:r>
      <w:r w:rsidRPr="001B5767">
        <w:rPr>
          <w:i/>
        </w:rPr>
        <w:t>section 2.1</w:t>
      </w:r>
      <w:r w:rsidRPr="001B5767">
        <w:t>;</w:t>
      </w:r>
    </w:p>
    <w:p w:rsidR="004678EA" w:rsidRPr="001B5767" w:rsidRDefault="004678EA" w:rsidP="004678EA">
      <w:pPr>
        <w:pStyle w:val="ListParagraph"/>
      </w:pPr>
      <w:r w:rsidRPr="001B5767">
        <w:t>the numbers of households in each RT were different, ranging between 25 and 163;</w:t>
      </w:r>
    </w:p>
    <w:p w:rsidR="004678EA" w:rsidRPr="001B5767" w:rsidRDefault="004678EA" w:rsidP="004678EA">
      <w:pPr>
        <w:pStyle w:val="ListParagraph"/>
      </w:pPr>
      <w:r w:rsidRPr="001B5767">
        <w:t>the number of families that had fled completely collapsed houses differ in each RT;</w:t>
      </w:r>
    </w:p>
    <w:p w:rsidR="004678EA" w:rsidRPr="001B5767" w:rsidRDefault="004678EA" w:rsidP="004678EA">
      <w:pPr>
        <w:pStyle w:val="ListParagraph"/>
      </w:pPr>
      <w:r w:rsidRPr="001B5767">
        <w:t>self-recovery efforts varied between areas; and</w:t>
      </w:r>
    </w:p>
    <w:p w:rsidR="004678EA" w:rsidRPr="001B5767" w:rsidRDefault="004678EA" w:rsidP="004678EA">
      <w:pPr>
        <w:pStyle w:val="ListParagraph"/>
      </w:pPr>
      <w:r w:rsidRPr="001B5767">
        <w:t xml:space="preserve">in semi-rural areas, especially in </w:t>
      </w:r>
      <w:r w:rsidRPr="001B5767">
        <w:rPr>
          <w:i/>
        </w:rPr>
        <w:t>Kecamatan</w:t>
      </w:r>
      <w:r w:rsidRPr="001B5767">
        <w:t xml:space="preserve"> Koto Tangah, there were severely damaged houses that were vacant before the earthquake.</w:t>
      </w:r>
    </w:p>
    <w:p w:rsidR="004678EA" w:rsidRPr="001B5767" w:rsidRDefault="004678EA" w:rsidP="004678EA">
      <w:r w:rsidRPr="001B5767">
        <w:rPr>
          <w:lang w:val="en-US"/>
        </w:rPr>
        <w:t xml:space="preserve">52 RT Leaders including their households were interviewed. An extra 25 RT Leaders were also interviewed in order to gather further general information at the RT Level. Interviews with 20 heads of </w:t>
      </w:r>
      <w:r w:rsidRPr="001B5767">
        <w:rPr>
          <w:i/>
          <w:lang w:val="en-US"/>
        </w:rPr>
        <w:t>Kelurahan</w:t>
      </w:r>
      <w:r w:rsidRPr="001B5767">
        <w:rPr>
          <w:lang w:val="en-US"/>
        </w:rPr>
        <w:t xml:space="preserve"> were conducted to gather general information on standard procedures when an emergency strikes. The total for these assessments is shown in the following figure: </w:t>
      </w:r>
    </w:p>
    <w:p w:rsidR="004678EA" w:rsidRPr="001B5767" w:rsidRDefault="004678EA" w:rsidP="004678EA">
      <w:pPr>
        <w:pStyle w:val="Caption"/>
      </w:pPr>
      <w:r w:rsidRPr="001B5767">
        <w:t xml:space="preserve">Figure </w:t>
      </w:r>
      <w:fldSimple w:instr=" SEQ Figure \* ARABIC ">
        <w:r>
          <w:rPr>
            <w:noProof/>
          </w:rPr>
          <w:t>3</w:t>
        </w:r>
      </w:fldSimple>
      <w:r w:rsidRPr="001B5767">
        <w:t xml:space="preserve">: number of RT Leaders and Heads of </w:t>
      </w:r>
      <w:r w:rsidRPr="001B5767">
        <w:rPr>
          <w:i/>
        </w:rPr>
        <w:t>Kelurahan</w:t>
      </w:r>
      <w:r w:rsidRPr="001B5767">
        <w:t xml:space="preserve"> interviewed</w:t>
      </w:r>
    </w:p>
    <w:p w:rsidR="004678EA" w:rsidRPr="001B5767" w:rsidRDefault="004678EA" w:rsidP="004678EA">
      <w:pPr>
        <w:pStyle w:val="Chart"/>
      </w:pPr>
      <w:r w:rsidRPr="001B5767">
        <w:drawing>
          <wp:inline distT="0" distB="0" distL="0" distR="0">
            <wp:extent cx="4171950" cy="1543050"/>
            <wp:effectExtent l="19050" t="0" r="0" b="0"/>
            <wp:docPr id="6" name="Chart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6"/>
                    <pic:cNvPicPr>
                      <a:picLocks noChangeArrowheads="1"/>
                    </pic:cNvPicPr>
                  </pic:nvPicPr>
                  <pic:blipFill>
                    <a:blip r:embed="rId10"/>
                    <a:srcRect l="2963" t="31065" r="15926" b="21005"/>
                    <a:stretch>
                      <a:fillRect/>
                    </a:stretch>
                  </pic:blipFill>
                  <pic:spPr bwMode="auto">
                    <a:xfrm>
                      <a:off x="0" y="0"/>
                      <a:ext cx="4171950" cy="1543050"/>
                    </a:xfrm>
                    <a:prstGeom prst="rect">
                      <a:avLst/>
                    </a:prstGeom>
                    <a:noFill/>
                    <a:ln w="9525">
                      <a:noFill/>
                      <a:miter lim="800000"/>
                      <a:headEnd/>
                      <a:tailEnd/>
                    </a:ln>
                  </pic:spPr>
                </pic:pic>
              </a:graphicData>
            </a:graphic>
          </wp:inline>
        </w:drawing>
      </w:r>
    </w:p>
    <w:p w:rsidR="004678EA" w:rsidRPr="001B5767" w:rsidRDefault="004678EA" w:rsidP="004678EA">
      <w:pPr>
        <w:pStyle w:val="Heading2"/>
      </w:pPr>
      <w:r w:rsidRPr="001B5767">
        <w:t>Research instrument: questionnaires</w:t>
      </w:r>
    </w:p>
    <w:p w:rsidR="004678EA" w:rsidRPr="001B5767" w:rsidRDefault="004678EA" w:rsidP="004678EA">
      <w:r w:rsidRPr="001B5767">
        <w:t>Two questionnaires were used. The first, for the RT leader, was to ensure that the RTs selected contained households living in severely and moderately damaged houses. The second was used for t</w:t>
      </w:r>
      <w:r>
        <w:t xml:space="preserve">he detailed household interview to collect information </w:t>
      </w:r>
      <w:r w:rsidRPr="001B5767">
        <w:t>on the actual living situation of the affected households</w:t>
      </w:r>
      <w:r>
        <w:t xml:space="preserve">. </w:t>
      </w:r>
      <w:r w:rsidRPr="001B5767">
        <w:t xml:space="preserve">The </w:t>
      </w:r>
      <w:r w:rsidRPr="001B5767">
        <w:lastRenderedPageBreak/>
        <w:t xml:space="preserve">questionnaires were tested prior to the assessment beginning by the Coordination team with two RT leaders and 2 households. </w:t>
      </w:r>
      <w:r>
        <w:t>Both questionnaires can be found in the annexes.</w:t>
      </w:r>
    </w:p>
    <w:p w:rsidR="004678EA" w:rsidRDefault="004678EA" w:rsidP="004678EA">
      <w:pPr>
        <w:rPr>
          <w:b/>
          <w:noProof/>
          <w:color w:val="FFFFFF"/>
          <w:sz w:val="28"/>
          <w:szCs w:val="22"/>
          <w:lang w:val="en-US" w:bidi="ar-SA"/>
        </w:rPr>
      </w:pPr>
      <w:r w:rsidRPr="001B5767">
        <w:t>The Questionnaire was comprised of closed questions, as they were appropriate to the objectives and are easier to process.  Open-ended questions were employed in a few instances, for example, when the answer was ‘other’. The average duration of the household interview was 40 minutes.</w:t>
      </w:r>
    </w:p>
    <w:p w:rsidR="004678EA" w:rsidRPr="004678EA" w:rsidRDefault="004678EA" w:rsidP="004678EA">
      <w:pPr>
        <w:pStyle w:val="NoSpacing"/>
        <w:rPr>
          <w:lang w:val="en-US" w:bidi="ar-SA"/>
        </w:rPr>
      </w:pPr>
    </w:p>
    <w:p w:rsidR="004678EA" w:rsidRPr="004678EA" w:rsidRDefault="004678EA" w:rsidP="004678EA">
      <w:pPr>
        <w:pStyle w:val="NoSpacing"/>
        <w:rPr>
          <w:lang w:val="en-US" w:bidi="ar-SA"/>
        </w:rPr>
      </w:pPr>
    </w:p>
    <w:p w:rsidR="00E05847" w:rsidRPr="001B5767" w:rsidRDefault="00E05847" w:rsidP="00E05847">
      <w:pPr>
        <w:pStyle w:val="Heading2"/>
      </w:pPr>
      <w:r w:rsidRPr="001B5767">
        <w:t>Criteria for vulnerable households</w:t>
      </w:r>
    </w:p>
    <w:p w:rsidR="00E05847" w:rsidRPr="001B5767" w:rsidRDefault="00E05847" w:rsidP="00E05847">
      <w:pPr>
        <w:rPr>
          <w:lang w:val="en-US"/>
        </w:rPr>
      </w:pPr>
      <w:r w:rsidRPr="001B5767">
        <w:rPr>
          <w:lang w:val="en-US"/>
        </w:rPr>
        <w:t>Six criteria for vulnerable households were used and defined as follows:</w:t>
      </w:r>
    </w:p>
    <w:p w:rsidR="00E05847" w:rsidRPr="001B5767" w:rsidRDefault="00E05847" w:rsidP="00E05847">
      <w:pPr>
        <w:pStyle w:val="ListParagraph"/>
      </w:pPr>
      <w:r w:rsidRPr="001B5767">
        <w:t>Person with a Disability (PwD)</w:t>
      </w:r>
    </w:p>
    <w:p w:rsidR="00E05847" w:rsidRPr="001B5767" w:rsidRDefault="00E05847" w:rsidP="00E05847">
      <w:pPr>
        <w:pStyle w:val="ListParagraph"/>
      </w:pPr>
      <w:r w:rsidRPr="001B5767">
        <w:t>Large families with more than 4 children, 0 to 5 years old</w:t>
      </w:r>
    </w:p>
    <w:p w:rsidR="00E05847" w:rsidRPr="001B5767" w:rsidRDefault="00E05847" w:rsidP="00E05847">
      <w:pPr>
        <w:pStyle w:val="ListParagraph"/>
      </w:pPr>
      <w:r w:rsidRPr="001B5767">
        <w:t>Single parents living with dependent children</w:t>
      </w:r>
    </w:p>
    <w:p w:rsidR="00E05847" w:rsidRPr="001B5767" w:rsidRDefault="00E05847" w:rsidP="00E05847">
      <w:pPr>
        <w:pStyle w:val="ListParagraph"/>
      </w:pPr>
      <w:r w:rsidRPr="001B5767">
        <w:t xml:space="preserve">Elderly living alone </w:t>
      </w:r>
    </w:p>
    <w:p w:rsidR="00E05847" w:rsidRPr="001B5767" w:rsidRDefault="00E05847" w:rsidP="00E05847">
      <w:pPr>
        <w:pStyle w:val="ListParagraph"/>
      </w:pPr>
      <w:r w:rsidRPr="001B5767">
        <w:t>Pregnant women without insurance coverage (Jamkesmas)</w:t>
      </w:r>
    </w:p>
    <w:p w:rsidR="00E05847" w:rsidRPr="001B5767" w:rsidRDefault="00E05847" w:rsidP="00E05847">
      <w:pPr>
        <w:pStyle w:val="ListParagraph"/>
      </w:pPr>
      <w:r w:rsidRPr="001B5767">
        <w:t xml:space="preserve">Low income (0 to 1.5 million Rp per month)  </w:t>
      </w:r>
    </w:p>
    <w:p w:rsidR="00E05847" w:rsidRPr="001B5767" w:rsidRDefault="00E05847" w:rsidP="00E05847">
      <w:pPr>
        <w:pStyle w:val="ListParagraph"/>
        <w:numPr>
          <w:ilvl w:val="1"/>
          <w:numId w:val="2"/>
        </w:numPr>
        <w:jc w:val="left"/>
      </w:pPr>
      <w:r w:rsidRPr="001B5767">
        <w:rPr>
          <w:b/>
        </w:rPr>
        <w:t>Note</w:t>
      </w:r>
      <w:r w:rsidRPr="001B5767">
        <w:t>: the team estimated the threshold for Low Income (LI) according to the monthly cost for a family of four as shown below:</w:t>
      </w:r>
    </w:p>
    <w:p w:rsidR="00E05847" w:rsidRPr="001B5767" w:rsidRDefault="00E05847" w:rsidP="00E05847">
      <w:pPr>
        <w:pStyle w:val="ListParagraph"/>
        <w:numPr>
          <w:ilvl w:val="2"/>
          <w:numId w:val="2"/>
        </w:numPr>
        <w:jc w:val="left"/>
      </w:pPr>
      <w:r w:rsidRPr="001B5767">
        <w:t xml:space="preserve">Food for 2 adults:  </w:t>
      </w:r>
      <w:r w:rsidRPr="001B5767">
        <w:tab/>
      </w:r>
      <w:r w:rsidRPr="001B5767">
        <w:tab/>
      </w:r>
      <w:r w:rsidRPr="001B5767">
        <w:tab/>
      </w:r>
      <w:r w:rsidRPr="001B5767">
        <w:tab/>
        <w:t>600,000.- IDR</w:t>
      </w:r>
    </w:p>
    <w:p w:rsidR="00E05847" w:rsidRPr="001B5767" w:rsidRDefault="00E05847" w:rsidP="00E05847">
      <w:pPr>
        <w:pStyle w:val="ListParagraph"/>
        <w:numPr>
          <w:ilvl w:val="2"/>
          <w:numId w:val="2"/>
        </w:numPr>
        <w:jc w:val="left"/>
      </w:pPr>
      <w:r w:rsidRPr="001B5767">
        <w:t xml:space="preserve">Food for 2 child, 5 to 17 years old: </w:t>
      </w:r>
      <w:r w:rsidRPr="001B5767">
        <w:tab/>
      </w:r>
      <w:r w:rsidRPr="001B5767">
        <w:tab/>
        <w:t>400,000.- IDR</w:t>
      </w:r>
    </w:p>
    <w:p w:rsidR="00E05847" w:rsidRPr="001B5767" w:rsidRDefault="00E05847" w:rsidP="00E05847">
      <w:pPr>
        <w:pStyle w:val="ListParagraph"/>
        <w:numPr>
          <w:ilvl w:val="2"/>
          <w:numId w:val="2"/>
        </w:numPr>
        <w:jc w:val="left"/>
      </w:pPr>
      <w:r w:rsidRPr="001B5767">
        <w:t>Nutrition milk for 1 child, 0 to 5 years old:</w:t>
      </w:r>
      <w:r w:rsidRPr="001B5767">
        <w:tab/>
        <w:t>200,000.- IDR</w:t>
      </w:r>
    </w:p>
    <w:p w:rsidR="00E05847" w:rsidRPr="001B5767" w:rsidRDefault="00E05847" w:rsidP="00E05847">
      <w:pPr>
        <w:pStyle w:val="ListParagraph"/>
        <w:numPr>
          <w:ilvl w:val="2"/>
          <w:numId w:val="2"/>
        </w:numPr>
        <w:jc w:val="left"/>
      </w:pPr>
      <w:r w:rsidRPr="001B5767">
        <w:t>Scholarship for 1 child, 5 to 17 years old:</w:t>
      </w:r>
      <w:r w:rsidRPr="001B5767">
        <w:tab/>
        <w:t>300,000.- IDR</w:t>
      </w:r>
    </w:p>
    <w:p w:rsidR="00E05847" w:rsidRPr="001B5767" w:rsidRDefault="00E05847" w:rsidP="00E05847">
      <w:pPr>
        <w:pStyle w:val="ListParagraph"/>
        <w:numPr>
          <w:ilvl w:val="2"/>
          <w:numId w:val="2"/>
        </w:numPr>
        <w:jc w:val="left"/>
      </w:pPr>
      <w:r w:rsidRPr="001B5767">
        <w:t>Transport:</w:t>
      </w:r>
      <w:r w:rsidRPr="001B5767">
        <w:tab/>
      </w:r>
      <w:r w:rsidRPr="001B5767">
        <w:tab/>
      </w:r>
      <w:r w:rsidRPr="001B5767">
        <w:tab/>
      </w:r>
      <w:r w:rsidRPr="001B5767">
        <w:tab/>
      </w:r>
      <w:r w:rsidRPr="001B5767">
        <w:tab/>
        <w:t>200,000.- IDR</w:t>
      </w:r>
    </w:p>
    <w:p w:rsidR="00E05847" w:rsidRDefault="00E05847" w:rsidP="00061FFD">
      <w:pPr>
        <w:ind w:left="2149" w:firstLine="11"/>
        <w:rPr>
          <w:b/>
        </w:rPr>
      </w:pPr>
      <w:r w:rsidRPr="001B5767">
        <w:rPr>
          <w:b/>
        </w:rPr>
        <w:t>Total monthly needs:</w:t>
      </w:r>
      <w:r w:rsidRPr="001B5767">
        <w:rPr>
          <w:b/>
        </w:rPr>
        <w:tab/>
      </w:r>
      <w:r w:rsidRPr="001B5767">
        <w:rPr>
          <w:b/>
        </w:rPr>
        <w:tab/>
      </w:r>
      <w:r w:rsidRPr="001B5767">
        <w:rPr>
          <w:b/>
        </w:rPr>
        <w:tab/>
      </w:r>
      <w:r w:rsidRPr="001B5767">
        <w:rPr>
          <w:b/>
        </w:rPr>
        <w:tab/>
        <w:t>1,500,000.- IDR</w:t>
      </w:r>
    </w:p>
    <w:p w:rsidR="00E149FD" w:rsidRDefault="00E149FD" w:rsidP="00E05847">
      <w:pPr>
        <w:rPr>
          <w:b/>
        </w:rPr>
      </w:pPr>
    </w:p>
    <w:p w:rsidR="00E149FD" w:rsidRPr="001B5767" w:rsidRDefault="00E149FD" w:rsidP="00E149FD">
      <w:pPr>
        <w:pStyle w:val="Heading2"/>
      </w:pPr>
      <w:r w:rsidRPr="001B5767">
        <w:t>Confidentiality and expectations management</w:t>
      </w:r>
    </w:p>
    <w:p w:rsidR="00E149FD" w:rsidRPr="001B5767" w:rsidRDefault="00E149FD" w:rsidP="00E149FD">
      <w:r w:rsidRPr="001B5767">
        <w:rPr>
          <w:lang w:val="en-US"/>
        </w:rPr>
        <w:t>An objective of the</w:t>
      </w:r>
      <w:r w:rsidRPr="001B5767">
        <w:t xml:space="preserve"> assessment was to collect statistical information about the general situation of the most vulnerable affected households. To</w:t>
      </w:r>
      <w:r w:rsidRPr="001B5767">
        <w:rPr>
          <w:lang w:val="en-US"/>
        </w:rPr>
        <w:t xml:space="preserve"> avoid creating false expectations of support, the enumerators did not take names, except for the RT leaders</w:t>
      </w:r>
      <w:r w:rsidRPr="001B5767">
        <w:t>. This was explained to each of the households.</w:t>
      </w:r>
    </w:p>
    <w:p w:rsidR="00E149FD" w:rsidRPr="001B5767" w:rsidRDefault="00E149FD" w:rsidP="00E149FD">
      <w:pPr>
        <w:pStyle w:val="Heading2"/>
      </w:pPr>
      <w:r w:rsidRPr="001B5767">
        <w:t>Comments on the questionnaire</w:t>
      </w:r>
    </w:p>
    <w:p w:rsidR="00E149FD" w:rsidRPr="001B5767" w:rsidRDefault="00E149FD" w:rsidP="00E149FD">
      <w:r w:rsidRPr="001B5767">
        <w:t xml:space="preserve">Overall, the questions were well understood by both the assessors and households, however, some specific terms were not clear, such as ‘cash stimulus’ and ‘standard emergency procedures’. </w:t>
      </w:r>
    </w:p>
    <w:p w:rsidR="00E149FD" w:rsidRPr="001B5767" w:rsidRDefault="00E149FD" w:rsidP="00E149FD">
      <w:pPr>
        <w:pStyle w:val="Heading2"/>
      </w:pPr>
      <w:r w:rsidRPr="001B5767">
        <w:lastRenderedPageBreak/>
        <w:t>Training of the volunteers</w:t>
      </w:r>
    </w:p>
    <w:p w:rsidR="00E149FD" w:rsidRPr="001B5767" w:rsidRDefault="00E149FD" w:rsidP="00E149FD">
      <w:r w:rsidRPr="001B5767">
        <w:t xml:space="preserve">The training of the volunteers took place over one day; the first group of 38 participants in the morning and the second group in the afternoon. The content of the training included a short presentation of the Shelter Cluster and its role, then went on to explain the objectives and method for conducting the assessment. </w:t>
      </w:r>
    </w:p>
    <w:p w:rsidR="00E149FD" w:rsidRPr="001B5767" w:rsidRDefault="00E149FD" w:rsidP="00E149FD">
      <w:pPr>
        <w:rPr>
          <w:i/>
          <w:lang w:val="en-US"/>
        </w:rPr>
      </w:pPr>
      <w:r w:rsidRPr="001B5767">
        <w:t xml:space="preserve">There was a follow-up training for the six volunteers acting as Focal Points. This included: reporting mechanisms for any issues and for the progress; and basic guidance on how to evaluate housing damage. </w:t>
      </w:r>
    </w:p>
    <w:p w:rsidR="00E149FD" w:rsidRPr="001B5767" w:rsidRDefault="00E149FD" w:rsidP="00E149FD">
      <w:pPr>
        <w:pStyle w:val="Heading2"/>
      </w:pPr>
      <w:r w:rsidRPr="001B5767">
        <w:t>Data collection, implementation, monitoring and reporting</w:t>
      </w:r>
    </w:p>
    <w:p w:rsidR="00E149FD" w:rsidRPr="001B5767" w:rsidRDefault="00E149FD" w:rsidP="00E149FD">
      <w:pPr>
        <w:rPr>
          <w:lang w:val="en-US"/>
        </w:rPr>
      </w:pPr>
      <w:r w:rsidRPr="001B5767">
        <w:rPr>
          <w:lang w:val="en-US"/>
        </w:rPr>
        <w:t>Data collection was undertaken 78 volunteers; 36 from BPRR (Andalas University Engineering students), 40 from the Indonesian Red Cross (PMI) and two Indo-Chinese. The volunteers were split into 36 teams of two volunteers (mostly gender mixed, 29 females and 49 males). Six others volunteers (three PMI, three BPRR) participated as Focal Points (Field Assistant).</w:t>
      </w:r>
    </w:p>
    <w:p w:rsidR="00E149FD" w:rsidRPr="001B5767" w:rsidRDefault="00E149FD" w:rsidP="00E149FD">
      <w:pPr>
        <w:rPr>
          <w:lang w:val="en-US"/>
        </w:rPr>
      </w:pPr>
      <w:r w:rsidRPr="001B5767">
        <w:rPr>
          <w:lang w:val="en-US"/>
        </w:rPr>
        <w:t>Volunteers received a per diem, one pre-paid mobile card for each team leader and focal point, and a daily allowance for motorbike use. All volunteers were provided with medical insurance for assessment period.</w:t>
      </w:r>
    </w:p>
    <w:p w:rsidR="00E149FD" w:rsidRPr="001B5767" w:rsidRDefault="00E149FD" w:rsidP="00E149FD">
      <w:pPr>
        <w:rPr>
          <w:lang w:val="en-US"/>
        </w:rPr>
      </w:pPr>
      <w:r w:rsidRPr="001B5767">
        <w:rPr>
          <w:lang w:val="en-US"/>
        </w:rPr>
        <w:t>There were daily morning and evening meetings with the Focal Points to collect the questionnaires, address any problems encountered, and for the daily progress report (see attachment X.V). Following each debriefing, the Focal Points organized meetings with their teams to report the meeting outcomes and to select the areas for the next day.</w:t>
      </w:r>
    </w:p>
    <w:p w:rsidR="00E149FD" w:rsidRPr="001B5767" w:rsidRDefault="00E149FD" w:rsidP="00E149FD">
      <w:pPr>
        <w:rPr>
          <w:lang w:val="en-US"/>
        </w:rPr>
      </w:pPr>
      <w:r w:rsidRPr="001B5767">
        <w:rPr>
          <w:lang w:val="en-US"/>
        </w:rPr>
        <w:t xml:space="preserve">By way of monitoring the assessment, the Coordination team independently assessed 3 RT Leaders, 2 households and 1 head of </w:t>
      </w:r>
      <w:r w:rsidRPr="001B5767">
        <w:rPr>
          <w:i/>
          <w:lang w:val="en-US"/>
        </w:rPr>
        <w:t>Kelurahan</w:t>
      </w:r>
      <w:r w:rsidRPr="001B5767">
        <w:rPr>
          <w:lang w:val="en-US"/>
        </w:rPr>
        <w:t xml:space="preserve"> to cross-check the understanding of the questionnaire by the participants.</w:t>
      </w:r>
    </w:p>
    <w:p w:rsidR="00E149FD" w:rsidRPr="001B5767" w:rsidRDefault="00E149FD" w:rsidP="00E149FD">
      <w:pPr>
        <w:pStyle w:val="Heading2"/>
      </w:pPr>
      <w:r w:rsidRPr="001B5767">
        <w:t xml:space="preserve">Database, data entry and analysis </w:t>
      </w:r>
    </w:p>
    <w:p w:rsidR="00E149FD" w:rsidRPr="001B5767" w:rsidRDefault="00E149FD" w:rsidP="00E149FD">
      <w:pPr>
        <w:rPr>
          <w:lang w:val="en-US"/>
        </w:rPr>
      </w:pPr>
      <w:r w:rsidRPr="001B5767">
        <w:t>The Coordinator assistant and the Database officer prepared the Database</w:t>
      </w:r>
      <w:r w:rsidRPr="001B5767">
        <w:rPr>
          <w:rStyle w:val="FootnoteReference"/>
        </w:rPr>
        <w:footnoteReference w:id="6"/>
      </w:r>
      <w:r w:rsidRPr="001B5767">
        <w:t xml:space="preserve"> according the questionnaire</w:t>
      </w:r>
      <w:r w:rsidRPr="001B5767">
        <w:rPr>
          <w:rStyle w:val="FootnoteReference"/>
        </w:rPr>
        <w:footnoteReference w:id="7"/>
      </w:r>
      <w:r w:rsidRPr="001B5767">
        <w:t xml:space="preserve">. </w:t>
      </w:r>
      <w:r w:rsidRPr="001B5767">
        <w:rPr>
          <w:lang w:val="en-US"/>
        </w:rPr>
        <w:t>The Database Officer and three volunteers entered approximately 100 questionnaires each every day for ten days. The data was constantly checked and double-checked.</w:t>
      </w:r>
    </w:p>
    <w:p w:rsidR="00E149FD" w:rsidRPr="001B5767" w:rsidRDefault="00E149FD" w:rsidP="00E149FD">
      <w:pPr>
        <w:pStyle w:val="Heading2"/>
      </w:pPr>
      <w:bookmarkStart w:id="0" w:name="_Toc235515721"/>
      <w:bookmarkStart w:id="1" w:name="_Toc252948269"/>
      <w:bookmarkStart w:id="2" w:name="_Toc252980300"/>
      <w:bookmarkStart w:id="3" w:name="_Toc252984953"/>
      <w:bookmarkStart w:id="4" w:name="_Toc252985099"/>
      <w:r w:rsidRPr="001B5767">
        <w:t>Assessment cost</w:t>
      </w:r>
      <w:bookmarkEnd w:id="0"/>
      <w:bookmarkEnd w:id="1"/>
      <w:bookmarkEnd w:id="2"/>
      <w:bookmarkEnd w:id="3"/>
      <w:bookmarkEnd w:id="4"/>
    </w:p>
    <w:p w:rsidR="00E149FD" w:rsidRPr="001B5767" w:rsidRDefault="00E149FD" w:rsidP="00E149FD">
      <w:r w:rsidRPr="001B5767">
        <w:t>The operational assessment costs were 140,155,000 Rupiah (approximately 15,000 USD) and were funded by Oxfam. Mercy Corps funded the salary of the Assessment Coordinator.</w:t>
      </w:r>
    </w:p>
    <w:p w:rsidR="00E149FD" w:rsidRPr="001B5767" w:rsidRDefault="00E149FD" w:rsidP="00E149FD">
      <w:pPr>
        <w:pStyle w:val="Heading2"/>
      </w:pPr>
      <w:r w:rsidRPr="001B5767">
        <w:lastRenderedPageBreak/>
        <w:t xml:space="preserve">Time line </w:t>
      </w:r>
    </w:p>
    <w:p w:rsidR="00E149FD" w:rsidRPr="001B5767" w:rsidRDefault="00E149FD" w:rsidP="00E149FD">
      <w:r w:rsidRPr="001B5767">
        <w:t>The assessment period was 37 days and was allocated for the following activities:</w:t>
      </w:r>
    </w:p>
    <w:p w:rsidR="00E149FD" w:rsidRPr="001B5767" w:rsidRDefault="00E149FD" w:rsidP="00E149FD">
      <w:pPr>
        <w:pStyle w:val="ListParagraph"/>
      </w:pPr>
      <w:r w:rsidRPr="001B5767">
        <w:rPr>
          <w:b/>
        </w:rPr>
        <w:t>Preparation</w:t>
      </w:r>
      <w:r w:rsidRPr="001B5767">
        <w:tab/>
      </w:r>
      <w:r w:rsidRPr="001B5767">
        <w:tab/>
      </w:r>
      <w:r w:rsidRPr="001B5767">
        <w:tab/>
      </w:r>
      <w:r w:rsidRPr="001B5767">
        <w:tab/>
        <w:t>18 days</w:t>
      </w:r>
      <w:r w:rsidRPr="001B5767">
        <w:tab/>
      </w:r>
      <w:r w:rsidRPr="001B5767">
        <w:tab/>
        <w:t>2 February to 21 February 2010</w:t>
      </w:r>
    </w:p>
    <w:p w:rsidR="00E149FD" w:rsidRPr="001B5767" w:rsidRDefault="00E149FD" w:rsidP="00E149FD">
      <w:pPr>
        <w:pStyle w:val="ListParagraph"/>
      </w:pPr>
      <w:r w:rsidRPr="001B5767">
        <w:rPr>
          <w:b/>
        </w:rPr>
        <w:t>Training of volunteers</w:t>
      </w:r>
      <w:r w:rsidRPr="001B5767">
        <w:tab/>
      </w:r>
      <w:r w:rsidRPr="001B5767">
        <w:tab/>
      </w:r>
      <w:r w:rsidRPr="001B5767">
        <w:tab/>
        <w:t>1 day</w:t>
      </w:r>
      <w:r w:rsidRPr="001B5767">
        <w:tab/>
      </w:r>
      <w:r w:rsidRPr="001B5767">
        <w:tab/>
        <w:t>22 February 2010</w:t>
      </w:r>
    </w:p>
    <w:p w:rsidR="00E149FD" w:rsidRPr="001B5767" w:rsidRDefault="00E149FD" w:rsidP="00E149FD">
      <w:pPr>
        <w:pStyle w:val="ListParagraph"/>
      </w:pPr>
      <w:r w:rsidRPr="001B5767">
        <w:rPr>
          <w:b/>
        </w:rPr>
        <w:t>Assessment</w:t>
      </w:r>
      <w:r w:rsidRPr="001B5767">
        <w:tab/>
      </w:r>
      <w:r w:rsidRPr="001B5767">
        <w:tab/>
      </w:r>
      <w:r w:rsidRPr="001B5767">
        <w:tab/>
      </w:r>
      <w:r w:rsidRPr="001B5767">
        <w:tab/>
        <w:t>9 days</w:t>
      </w:r>
      <w:r w:rsidRPr="001B5767">
        <w:tab/>
      </w:r>
      <w:r w:rsidRPr="001B5767">
        <w:tab/>
        <w:t xml:space="preserve">23 February to 6 March 2010 </w:t>
      </w:r>
    </w:p>
    <w:p w:rsidR="00E149FD" w:rsidRPr="001B5767" w:rsidRDefault="00E149FD" w:rsidP="00E149FD">
      <w:pPr>
        <w:pStyle w:val="ListParagraph"/>
      </w:pPr>
      <w:r w:rsidRPr="001B5767">
        <w:rPr>
          <w:b/>
        </w:rPr>
        <w:t>Debriefing</w:t>
      </w:r>
      <w:r w:rsidRPr="001B5767">
        <w:tab/>
      </w:r>
      <w:r w:rsidRPr="001B5767">
        <w:tab/>
      </w:r>
      <w:r w:rsidRPr="001B5767">
        <w:tab/>
      </w:r>
      <w:r w:rsidRPr="001B5767">
        <w:tab/>
        <w:t>1 day</w:t>
      </w:r>
      <w:r w:rsidRPr="001B5767">
        <w:tab/>
      </w:r>
      <w:r w:rsidRPr="001B5767">
        <w:tab/>
        <w:t>8 March 2010</w:t>
      </w:r>
    </w:p>
    <w:p w:rsidR="00E149FD" w:rsidRPr="001B5767" w:rsidRDefault="00E149FD" w:rsidP="00E149FD">
      <w:pPr>
        <w:pStyle w:val="ListParagraph"/>
      </w:pPr>
      <w:r w:rsidRPr="001B5767">
        <w:rPr>
          <w:b/>
        </w:rPr>
        <w:t>Data cross check, analyse and report</w:t>
      </w:r>
      <w:r w:rsidRPr="001B5767">
        <w:tab/>
        <w:t>8 days</w:t>
      </w:r>
      <w:r w:rsidRPr="001B5767">
        <w:tab/>
      </w:r>
      <w:r w:rsidRPr="001B5767">
        <w:tab/>
        <w:t>9 March to 19 March 2010</w:t>
      </w:r>
    </w:p>
    <w:p w:rsidR="00E149FD" w:rsidRPr="001B5767" w:rsidRDefault="00E149FD" w:rsidP="00E149FD">
      <w:pPr>
        <w:pStyle w:val="Heading2"/>
      </w:pPr>
      <w:r w:rsidRPr="001B5767">
        <w:t>Human resources</w:t>
      </w:r>
    </w:p>
    <w:p w:rsidR="00E149FD" w:rsidRPr="001B5767" w:rsidRDefault="00E149FD" w:rsidP="00E149FD">
      <w:pPr>
        <w:pStyle w:val="ListParagraph"/>
      </w:pPr>
      <w:r w:rsidRPr="001B5767">
        <w:t>Assessment Coordinator</w:t>
      </w:r>
    </w:p>
    <w:p w:rsidR="00E149FD" w:rsidRPr="001B5767" w:rsidRDefault="00E149FD" w:rsidP="00E149FD">
      <w:pPr>
        <w:pStyle w:val="ListParagraph"/>
      </w:pPr>
      <w:r w:rsidRPr="001B5767">
        <w:t>Coordination Assistant (finance, administration and HR management)</w:t>
      </w:r>
    </w:p>
    <w:p w:rsidR="00E149FD" w:rsidRPr="001B5767" w:rsidRDefault="00E149FD" w:rsidP="00E149FD">
      <w:pPr>
        <w:pStyle w:val="ListParagraph"/>
      </w:pPr>
      <w:r w:rsidRPr="001B5767">
        <w:t xml:space="preserve">Coordination Assistant (questionnaire finalisation, training of volunteers, etc.) </w:t>
      </w:r>
    </w:p>
    <w:p w:rsidR="00E149FD" w:rsidRPr="001B5767" w:rsidRDefault="00E149FD" w:rsidP="00E149FD">
      <w:pPr>
        <w:pStyle w:val="ListParagraph"/>
      </w:pPr>
      <w:r w:rsidRPr="001B5767">
        <w:t>Database Officer (to prepare the database, data entry and analyse)</w:t>
      </w:r>
    </w:p>
    <w:p w:rsidR="00E149FD" w:rsidRPr="001B5767" w:rsidRDefault="00E149FD" w:rsidP="00E149FD">
      <w:pPr>
        <w:pStyle w:val="ListParagraph"/>
      </w:pPr>
      <w:r w:rsidRPr="001B5767">
        <w:t>six focal points, 72 volunteers, and 3 data entry volunteers</w:t>
      </w:r>
    </w:p>
    <w:p w:rsidR="00E149FD" w:rsidRPr="001B5767" w:rsidRDefault="00E149FD" w:rsidP="00E149FD">
      <w:pPr>
        <w:pStyle w:val="Heading2"/>
      </w:pPr>
      <w:r w:rsidRPr="001B5767">
        <w:t xml:space="preserve">Activities </w:t>
      </w:r>
    </w:p>
    <w:p w:rsidR="00E149FD" w:rsidRPr="001B5767" w:rsidRDefault="00E149FD" w:rsidP="00E149FD">
      <w:pPr>
        <w:pStyle w:val="ListParagraph"/>
      </w:pPr>
      <w:r w:rsidRPr="001B5767">
        <w:t>Collection and review of data from previous assessments undertaken in The City of Padang;</w:t>
      </w:r>
    </w:p>
    <w:p w:rsidR="00E149FD" w:rsidRPr="001B5767" w:rsidRDefault="00E149FD" w:rsidP="00E149FD">
      <w:pPr>
        <w:pStyle w:val="ListParagraph"/>
      </w:pPr>
      <w:r w:rsidRPr="001B5767">
        <w:t xml:space="preserve">Design assessment format in coordination with interested parties; </w:t>
      </w:r>
    </w:p>
    <w:p w:rsidR="00E149FD" w:rsidRPr="001B5767" w:rsidRDefault="00E149FD" w:rsidP="00E149FD">
      <w:pPr>
        <w:pStyle w:val="ListParagraph"/>
      </w:pPr>
      <w:r w:rsidRPr="001B5767">
        <w:t>Preliminary assessment review, coordination with local Government structures and selection of the target area having the most vulnerable affected households;</w:t>
      </w:r>
    </w:p>
    <w:p w:rsidR="00E149FD" w:rsidRPr="001B5767" w:rsidRDefault="00E149FD" w:rsidP="00E149FD">
      <w:pPr>
        <w:pStyle w:val="ListParagraph"/>
      </w:pPr>
      <w:r w:rsidRPr="001B5767">
        <w:t>Preparation of assessment materials, training package, training of the volunteers, assessment, database, analyse of the results, mapping of the location, final report and recommendations; and</w:t>
      </w:r>
    </w:p>
    <w:p w:rsidR="00E149FD" w:rsidRPr="001B5767" w:rsidRDefault="00E149FD" w:rsidP="00E149FD">
      <w:pPr>
        <w:pStyle w:val="ListParagraph"/>
        <w:rPr>
          <w:rFonts w:cs="Calibri"/>
        </w:rPr>
      </w:pPr>
      <w:r w:rsidRPr="001B5767">
        <w:t>Preparation of the questionnaire and assessment of the affected households concerning their vulnerability, living situation and their incomes before and after the earthquake.</w:t>
      </w:r>
      <w:bookmarkStart w:id="5" w:name="_Toc235515719"/>
      <w:bookmarkStart w:id="6" w:name="_Toc252948267"/>
      <w:bookmarkStart w:id="7" w:name="_Toc252980298"/>
      <w:bookmarkStart w:id="8" w:name="_Toc252984951"/>
      <w:bookmarkStart w:id="9" w:name="_Toc252985097"/>
      <w:r w:rsidRPr="001B5767">
        <w:rPr>
          <w:rFonts w:cs="Calibri"/>
        </w:rPr>
        <w:t xml:space="preserve"> </w:t>
      </w:r>
    </w:p>
    <w:bookmarkEnd w:id="5"/>
    <w:bookmarkEnd w:id="6"/>
    <w:bookmarkEnd w:id="7"/>
    <w:bookmarkEnd w:id="8"/>
    <w:bookmarkEnd w:id="9"/>
    <w:p w:rsidR="004678EA" w:rsidRPr="001B5767" w:rsidRDefault="004678EA" w:rsidP="004678EA">
      <w:pPr>
        <w:pStyle w:val="Heading2"/>
      </w:pPr>
      <w:r w:rsidRPr="001B5767">
        <w:t>Final comments on the assessment process</w:t>
      </w:r>
      <w:r>
        <w:t xml:space="preserve"> and lessons learnt</w:t>
      </w:r>
    </w:p>
    <w:p w:rsidR="004678EA" w:rsidRPr="001B5767" w:rsidRDefault="004678EA" w:rsidP="004678EA">
      <w:r w:rsidRPr="001B5767">
        <w:t xml:space="preserve">It was quite challenging conducting an assessment four months after the earthquake in an area which received virtually no shelter assistance from responding agencies. Households had clearly grown tired of answering questions. </w:t>
      </w:r>
    </w:p>
    <w:p w:rsidR="004678EA" w:rsidRDefault="004678EA" w:rsidP="004678EA">
      <w:pPr>
        <w:jc w:val="left"/>
      </w:pPr>
      <w:r w:rsidRPr="001B5767">
        <w:t xml:space="preserve">It was useful to meet the RT Leader before beginning the household assessment to verify that the RT still met the selection criteria, however it would have been better to have met the head of </w:t>
      </w:r>
      <w:r w:rsidRPr="001B5767">
        <w:rPr>
          <w:i/>
        </w:rPr>
        <w:t>Kelurahan</w:t>
      </w:r>
      <w:r w:rsidRPr="001B5767">
        <w:t xml:space="preserve"> first to crosscheck the RT, and to change if needed.</w:t>
      </w:r>
    </w:p>
    <w:p w:rsidR="004678EA" w:rsidRPr="00E05847" w:rsidRDefault="004678EA" w:rsidP="004678EA">
      <w:r w:rsidRPr="001B5767">
        <w:t xml:space="preserve">Given the relatively short time available to conduct the assessment, it was difficult to ensure that the RTs selected corresponded to the selection criteria before beginning the assessment. Better results may have been achieved if the assessment teams had met the head of the </w:t>
      </w:r>
      <w:r w:rsidRPr="001B5767">
        <w:rPr>
          <w:i/>
        </w:rPr>
        <w:t>Kelurahan</w:t>
      </w:r>
      <w:r w:rsidRPr="001B5767">
        <w:t xml:space="preserve"> to get their advice on the selected RTs, to ensure the targets included the poorest affected households. As it happened, there were instances where selected RTs had recovered when neighbouring RTs faced worse conditions. </w:t>
      </w:r>
    </w:p>
    <w:p w:rsidR="004678EA" w:rsidRPr="001B5767" w:rsidRDefault="004678EA" w:rsidP="004678EA">
      <w:pPr>
        <w:rPr>
          <w:rFonts w:cs="Calibri"/>
        </w:rPr>
      </w:pPr>
      <w:r w:rsidRPr="001B5767">
        <w:lastRenderedPageBreak/>
        <w:t>Many of the volunteers had previous assessment experience, which was a great advantage. The mix of PMI volunteers and technical students was also an asset. The Andalas University students assisted the PMI volunteers on the evaluation of the damage, while the PMI volunteers shared their knowledge of working in a humanitarian context with their colleagues.</w:t>
      </w:r>
    </w:p>
    <w:p w:rsidR="004678EA" w:rsidRPr="001B5767" w:rsidRDefault="004678EA" w:rsidP="004678EA">
      <w:r w:rsidRPr="001B5767">
        <w:t>Further efforts should be made to ensure that terms used are understood in the local dialect</w:t>
      </w:r>
      <w:r w:rsidRPr="001B5767">
        <w:rPr>
          <w:rStyle w:val="FootnoteReference"/>
        </w:rPr>
        <w:footnoteReference w:id="8"/>
      </w:r>
      <w:r w:rsidRPr="001B5767">
        <w:t>.</w:t>
      </w:r>
    </w:p>
    <w:p w:rsidR="004678EA" w:rsidRPr="001B5767" w:rsidRDefault="004678EA" w:rsidP="004678EA">
      <w:pPr>
        <w:rPr>
          <w:color w:val="FF0000"/>
          <w:lang w:val="en-US"/>
        </w:rPr>
      </w:pPr>
      <w:r w:rsidRPr="001B5767">
        <w:rPr>
          <w:lang w:val="en-US"/>
        </w:rPr>
        <w:t>The training could have benefited from there being one full day per group of participants. This would have allowed more time with the questionnaires. Also, the assessors and not only the focal point should have been trained on evaluating housing damage.</w:t>
      </w:r>
    </w:p>
    <w:p w:rsidR="00E149FD" w:rsidRPr="004678EA" w:rsidRDefault="00E149FD" w:rsidP="00E05847">
      <w:pPr>
        <w:rPr>
          <w:lang w:val="en-US"/>
        </w:rPr>
      </w:pPr>
    </w:p>
    <w:sectPr w:rsidR="00E149FD" w:rsidRPr="004678EA" w:rsidSect="00806D64">
      <w:headerReference w:type="default" r:id="rId11"/>
      <w:footerReference w:type="default" r:id="rId12"/>
      <w:pgSz w:w="11906" w:h="16838" w:code="9"/>
      <w:pgMar w:top="1677" w:right="794" w:bottom="426" w:left="794" w:header="709"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9FD" w:rsidRDefault="00D379FD" w:rsidP="009F530E">
      <w:r>
        <w:separator/>
      </w:r>
    </w:p>
  </w:endnote>
  <w:endnote w:type="continuationSeparator" w:id="1">
    <w:p w:rsidR="00D379FD" w:rsidRDefault="00D379FD" w:rsidP="009F53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1"/>
      <w:gridCol w:w="1354"/>
    </w:tblGrid>
    <w:tr w:rsidR="00E149FD" w:rsidRPr="00360496" w:rsidTr="00082853">
      <w:tc>
        <w:tcPr>
          <w:tcW w:w="8471" w:type="dxa"/>
        </w:tcPr>
        <w:p w:rsidR="00E149FD" w:rsidRPr="00360496" w:rsidRDefault="006824D4" w:rsidP="00EC701D">
          <w:pPr>
            <w:pStyle w:val="Footer"/>
            <w:ind w:left="0"/>
            <w:rPr>
              <w:sz w:val="18"/>
              <w:szCs w:val="18"/>
            </w:rPr>
          </w:pPr>
          <w:r>
            <w:rPr>
              <w:sz w:val="18"/>
              <w:szCs w:val="18"/>
            </w:rPr>
            <w:t>Download the</w:t>
          </w:r>
          <w:r w:rsidR="00E149FD">
            <w:rPr>
              <w:sz w:val="18"/>
              <w:szCs w:val="18"/>
            </w:rPr>
            <w:t xml:space="preserve"> report from the</w:t>
          </w:r>
          <w:r w:rsidR="00E149FD" w:rsidRPr="00360496">
            <w:rPr>
              <w:sz w:val="18"/>
              <w:szCs w:val="18"/>
            </w:rPr>
            <w:t xml:space="preserve"> Indonesia Shelter Cluster website</w:t>
          </w:r>
          <w:r w:rsidR="00E149FD">
            <w:rPr>
              <w:sz w:val="18"/>
              <w:szCs w:val="18"/>
            </w:rPr>
            <w:t xml:space="preserve"> at</w:t>
          </w:r>
          <w:r w:rsidR="00E149FD" w:rsidRPr="00360496">
            <w:rPr>
              <w:sz w:val="18"/>
              <w:szCs w:val="18"/>
            </w:rPr>
            <w:t xml:space="preserve"> </w:t>
          </w:r>
          <w:hyperlink r:id="rId1" w:history="1">
            <w:r w:rsidR="00E149FD" w:rsidRPr="00EC701D">
              <w:rPr>
                <w:rStyle w:val="Hyperlink"/>
                <w:color w:val="000000" w:themeColor="text1"/>
                <w:sz w:val="18"/>
                <w:szCs w:val="18"/>
              </w:rPr>
              <w:t>http://groups.google.com/group/SUM09</w:t>
            </w:r>
          </w:hyperlink>
        </w:p>
      </w:tc>
      <w:tc>
        <w:tcPr>
          <w:tcW w:w="1354" w:type="dxa"/>
        </w:tcPr>
        <w:p w:rsidR="00E149FD" w:rsidRPr="00360496" w:rsidRDefault="00E149FD" w:rsidP="006824D4">
          <w:pPr>
            <w:pStyle w:val="Header"/>
            <w:ind w:left="0"/>
            <w:rPr>
              <w:sz w:val="18"/>
              <w:szCs w:val="18"/>
            </w:rPr>
          </w:pPr>
          <w:r w:rsidRPr="00360496">
            <w:rPr>
              <w:sz w:val="18"/>
              <w:szCs w:val="18"/>
            </w:rPr>
            <w:t xml:space="preserve">Page </w:t>
          </w:r>
          <w:sdt>
            <w:sdtPr>
              <w:rPr>
                <w:sz w:val="18"/>
                <w:szCs w:val="18"/>
              </w:rPr>
              <w:id w:val="88459501"/>
              <w:docPartObj>
                <w:docPartGallery w:val="Page Numbers (Top of Page)"/>
                <w:docPartUnique/>
              </w:docPartObj>
            </w:sdtPr>
            <w:sdtContent>
              <w:r w:rsidR="0046617B" w:rsidRPr="00360496">
                <w:rPr>
                  <w:b/>
                  <w:sz w:val="18"/>
                  <w:szCs w:val="18"/>
                </w:rPr>
                <w:fldChar w:fldCharType="begin"/>
              </w:r>
              <w:r w:rsidRPr="00360496">
                <w:rPr>
                  <w:b/>
                  <w:sz w:val="18"/>
                  <w:szCs w:val="18"/>
                </w:rPr>
                <w:instrText xml:space="preserve"> PAGE   \* MERGEFORMAT </w:instrText>
              </w:r>
              <w:r w:rsidR="0046617B" w:rsidRPr="00360496">
                <w:rPr>
                  <w:b/>
                  <w:sz w:val="18"/>
                  <w:szCs w:val="18"/>
                </w:rPr>
                <w:fldChar w:fldCharType="separate"/>
              </w:r>
              <w:r w:rsidR="0084066E">
                <w:rPr>
                  <w:b/>
                  <w:noProof/>
                  <w:sz w:val="18"/>
                  <w:szCs w:val="18"/>
                </w:rPr>
                <w:t>1</w:t>
              </w:r>
              <w:r w:rsidR="0046617B" w:rsidRPr="00360496">
                <w:rPr>
                  <w:b/>
                  <w:sz w:val="18"/>
                  <w:szCs w:val="18"/>
                </w:rPr>
                <w:fldChar w:fldCharType="end"/>
              </w:r>
              <w:r w:rsidRPr="00360496">
                <w:rPr>
                  <w:sz w:val="18"/>
                  <w:szCs w:val="18"/>
                </w:rPr>
                <w:t xml:space="preserve"> </w:t>
              </w:r>
            </w:sdtContent>
          </w:sdt>
          <w:r w:rsidR="006824D4">
            <w:rPr>
              <w:sz w:val="18"/>
              <w:szCs w:val="18"/>
            </w:rPr>
            <w:t>of 6</w:t>
          </w:r>
        </w:p>
      </w:tc>
    </w:tr>
  </w:tbl>
  <w:p w:rsidR="00E149FD" w:rsidRPr="00360496" w:rsidRDefault="00E149FD" w:rsidP="00360496">
    <w:pPr>
      <w:pStyle w:val="Footer"/>
      <w:ind w:left="0"/>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9FD" w:rsidRDefault="00D379FD" w:rsidP="009F530E">
      <w:r>
        <w:separator/>
      </w:r>
    </w:p>
  </w:footnote>
  <w:footnote w:type="continuationSeparator" w:id="1">
    <w:p w:rsidR="00D379FD" w:rsidRDefault="00D379FD" w:rsidP="009F530E">
      <w:r>
        <w:continuationSeparator/>
      </w:r>
    </w:p>
  </w:footnote>
  <w:footnote w:id="2">
    <w:p w:rsidR="004678EA" w:rsidRPr="008F7C46" w:rsidRDefault="004678EA" w:rsidP="004678EA">
      <w:pPr>
        <w:pStyle w:val="FootnoteText"/>
      </w:pPr>
      <w:r>
        <w:rPr>
          <w:rStyle w:val="FootnoteReference"/>
        </w:rPr>
        <w:footnoteRef/>
      </w:r>
      <w:r>
        <w:t xml:space="preserve"> The Damage and Loss Assessment cited </w:t>
      </w:r>
      <w:r w:rsidRPr="001C0EDF">
        <w:t>49,493 damaged houses, with 26,179 being heavily and moderately damaged.</w:t>
      </w:r>
      <w:r w:rsidRPr="008F7C46">
        <w:t xml:space="preserve"> </w:t>
      </w:r>
    </w:p>
  </w:footnote>
  <w:footnote w:id="3">
    <w:p w:rsidR="004678EA" w:rsidRPr="008F7C46" w:rsidRDefault="004678EA" w:rsidP="004678EA">
      <w:pPr>
        <w:pStyle w:val="FootnoteText"/>
      </w:pPr>
      <w:r>
        <w:rPr>
          <w:rStyle w:val="FootnoteReference"/>
        </w:rPr>
        <w:footnoteRef/>
      </w:r>
      <w:r>
        <w:t xml:space="preserve"> Lightly damaged houses were categorised as being ‘cosmetic damage’ by the damage assessors.</w:t>
      </w:r>
    </w:p>
  </w:footnote>
  <w:footnote w:id="4">
    <w:p w:rsidR="004678EA" w:rsidRPr="001C0EDF" w:rsidRDefault="004678EA" w:rsidP="004678EA">
      <w:pPr>
        <w:pStyle w:val="FootnoteText"/>
      </w:pPr>
      <w:r>
        <w:rPr>
          <w:rStyle w:val="FootnoteReference"/>
        </w:rPr>
        <w:footnoteRef/>
      </w:r>
      <w:r>
        <w:t xml:space="preserve"> </w:t>
      </w:r>
      <w:r w:rsidRPr="001C0EDF">
        <w:t>The list</w:t>
      </w:r>
      <w:r>
        <w:t>s</w:t>
      </w:r>
      <w:r w:rsidRPr="001C0EDF">
        <w:t xml:space="preserve"> </w:t>
      </w:r>
      <w:r>
        <w:t>also included</w:t>
      </w:r>
      <w:r w:rsidRPr="001C0EDF">
        <w:t xml:space="preserve"> the poorest Kelurahan</w:t>
      </w:r>
      <w:r>
        <w:t xml:space="preserve">, as </w:t>
      </w:r>
      <w:r w:rsidRPr="001C0EDF">
        <w:t>recommended by the Depa</w:t>
      </w:r>
      <w:r>
        <w:t>rtment of Welfare</w:t>
      </w:r>
    </w:p>
  </w:footnote>
  <w:footnote w:id="5">
    <w:p w:rsidR="004678EA" w:rsidRPr="004E739C" w:rsidRDefault="004678EA" w:rsidP="004678EA">
      <w:pPr>
        <w:pStyle w:val="FootnoteText"/>
        <w:rPr>
          <w:lang w:val="en-US"/>
        </w:rPr>
      </w:pPr>
      <w:r>
        <w:rPr>
          <w:rStyle w:val="FootnoteReference"/>
        </w:rPr>
        <w:footnoteRef/>
      </w:r>
      <w:r>
        <w:t xml:space="preserve"> </w:t>
      </w:r>
      <w:r w:rsidRPr="004E739C">
        <w:rPr>
          <w:lang w:val="en-US"/>
        </w:rPr>
        <w:t xml:space="preserve">See Annex IV: </w:t>
      </w:r>
      <w:r>
        <w:rPr>
          <w:lang w:val="en-US"/>
        </w:rPr>
        <w:t>t</w:t>
      </w:r>
      <w:r w:rsidRPr="004E739C">
        <w:rPr>
          <w:lang w:val="en-US"/>
        </w:rPr>
        <w:t>ables of the selected areas and number of interviews</w:t>
      </w:r>
    </w:p>
    <w:p w:rsidR="004678EA" w:rsidRPr="004E739C" w:rsidRDefault="004678EA" w:rsidP="004678EA">
      <w:pPr>
        <w:pStyle w:val="FootnoteText"/>
        <w:rPr>
          <w:lang w:val="en-US"/>
        </w:rPr>
      </w:pPr>
    </w:p>
  </w:footnote>
  <w:footnote w:id="6">
    <w:p w:rsidR="00E149FD" w:rsidRPr="00C3106E" w:rsidRDefault="00E149FD" w:rsidP="00E149FD">
      <w:pPr>
        <w:pStyle w:val="FootnoteText"/>
      </w:pPr>
      <w:r>
        <w:rPr>
          <w:rStyle w:val="FootnoteReference"/>
        </w:rPr>
        <w:footnoteRef/>
      </w:r>
      <w:r>
        <w:t xml:space="preserve"> </w:t>
      </w:r>
      <w:r w:rsidRPr="00C3106E">
        <w:t>To learn how to use the Database, see Annex IX: Database Explanation.</w:t>
      </w:r>
    </w:p>
  </w:footnote>
  <w:footnote w:id="7">
    <w:p w:rsidR="00E149FD" w:rsidRPr="009C16F7" w:rsidRDefault="00E149FD" w:rsidP="00E149FD">
      <w:pPr>
        <w:pStyle w:val="FootnoteText"/>
      </w:pPr>
      <w:r>
        <w:rPr>
          <w:rStyle w:val="FootnoteReference"/>
        </w:rPr>
        <w:footnoteRef/>
      </w:r>
      <w:r>
        <w:t xml:space="preserve"> </w:t>
      </w:r>
      <w:r w:rsidRPr="009C16F7">
        <w:t>The database was prepared in Microsoft Excel.</w:t>
      </w:r>
      <w:r w:rsidRPr="009C16F7">
        <w:rPr>
          <w:lang w:val="en-US"/>
        </w:rPr>
        <w:t xml:space="preserve"> </w:t>
      </w:r>
      <w:r w:rsidRPr="009C16F7">
        <w:t xml:space="preserve">There are two </w:t>
      </w:r>
      <w:r>
        <w:t>database</w:t>
      </w:r>
      <w:r w:rsidRPr="009C16F7">
        <w:t>s: the first is concerning the RT Leader questionnaire, called ‘</w:t>
      </w:r>
      <w:r>
        <w:t>Database</w:t>
      </w:r>
      <w:r w:rsidRPr="009C16F7">
        <w:t xml:space="preserve"> Q.1-RTL’; the second concerning the Households questionnaire No 2 called ‘</w:t>
      </w:r>
      <w:r>
        <w:t>Database</w:t>
      </w:r>
      <w:r w:rsidRPr="009C16F7">
        <w:t xml:space="preserve"> Q2-HH’</w:t>
      </w:r>
    </w:p>
    <w:p w:rsidR="00E149FD" w:rsidRPr="009C16F7" w:rsidRDefault="00E149FD" w:rsidP="00E149FD">
      <w:pPr>
        <w:pStyle w:val="FootnoteText"/>
      </w:pPr>
    </w:p>
  </w:footnote>
  <w:footnote w:id="8">
    <w:p w:rsidR="004678EA" w:rsidRPr="00A7621C" w:rsidRDefault="004678EA" w:rsidP="004678EA">
      <w:pPr>
        <w:pStyle w:val="FootnoteText"/>
      </w:pPr>
      <w:r>
        <w:rPr>
          <w:rStyle w:val="FootnoteReference"/>
        </w:rPr>
        <w:footnoteRef/>
      </w:r>
      <w:r>
        <w:t xml:space="preserve"> </w:t>
      </w:r>
      <w:r w:rsidRPr="00A7621C">
        <w:t>See ANNEX XI: Questions to review from our questionnaires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9FD" w:rsidRDefault="00E149FD">
    <w:pPr>
      <w:pStyle w:val="Header"/>
    </w:pPr>
    <w:r w:rsidRPr="00EC701D">
      <w:rPr>
        <w:noProof/>
        <w:lang w:val="en-US" w:bidi="ar-SA"/>
      </w:rPr>
      <w:drawing>
        <wp:inline distT="0" distB="0" distL="0" distR="0">
          <wp:extent cx="1114425" cy="266700"/>
          <wp:effectExtent l="19050" t="0" r="9525" b="0"/>
          <wp:docPr id="3" name="Picture 23" descr="C:\Documents and Settings\Neil\Desktop\My Dropbox\Sumatra 09\IASC B+W.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Neil\Desktop\My Dropbox\Sumatra 09\IASC B+W.wmf"/>
                  <pic:cNvPicPr>
                    <a:picLocks noChangeAspect="1" noChangeArrowheads="1"/>
                  </pic:cNvPicPr>
                </pic:nvPicPr>
                <pic:blipFill>
                  <a:blip r:embed="rId1"/>
                  <a:srcRect/>
                  <a:stretch>
                    <a:fillRect/>
                  </a:stretch>
                </pic:blipFill>
                <pic:spPr bwMode="auto">
                  <a:xfrm>
                    <a:off x="0" y="0"/>
                    <a:ext cx="1114425" cy="2667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18596E1"/>
    <w:multiLevelType w:val="hybridMultilevel"/>
    <w:tmpl w:val="E41F94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7C"/>
    <w:multiLevelType w:val="singleLevel"/>
    <w:tmpl w:val="975634AA"/>
    <w:lvl w:ilvl="0">
      <w:start w:val="1"/>
      <w:numFmt w:val="decimal"/>
      <w:lvlText w:val="%1."/>
      <w:lvlJc w:val="left"/>
      <w:pPr>
        <w:tabs>
          <w:tab w:val="num" w:pos="1492"/>
        </w:tabs>
        <w:ind w:left="1492" w:hanging="360"/>
      </w:pPr>
    </w:lvl>
  </w:abstractNum>
  <w:abstractNum w:abstractNumId="2">
    <w:nsid w:val="FFFFFF7D"/>
    <w:multiLevelType w:val="singleLevel"/>
    <w:tmpl w:val="D624D038"/>
    <w:lvl w:ilvl="0">
      <w:start w:val="1"/>
      <w:numFmt w:val="decimal"/>
      <w:lvlText w:val="%1."/>
      <w:lvlJc w:val="left"/>
      <w:pPr>
        <w:tabs>
          <w:tab w:val="num" w:pos="1209"/>
        </w:tabs>
        <w:ind w:left="1209" w:hanging="360"/>
      </w:pPr>
    </w:lvl>
  </w:abstractNum>
  <w:abstractNum w:abstractNumId="3">
    <w:nsid w:val="FFFFFF7E"/>
    <w:multiLevelType w:val="singleLevel"/>
    <w:tmpl w:val="9AD6AFA8"/>
    <w:lvl w:ilvl="0">
      <w:start w:val="1"/>
      <w:numFmt w:val="decimal"/>
      <w:lvlText w:val="%1."/>
      <w:lvlJc w:val="left"/>
      <w:pPr>
        <w:tabs>
          <w:tab w:val="num" w:pos="926"/>
        </w:tabs>
        <w:ind w:left="926" w:hanging="360"/>
      </w:pPr>
    </w:lvl>
  </w:abstractNum>
  <w:abstractNum w:abstractNumId="4">
    <w:nsid w:val="FFFFFF7F"/>
    <w:multiLevelType w:val="singleLevel"/>
    <w:tmpl w:val="9BBAAB36"/>
    <w:lvl w:ilvl="0">
      <w:start w:val="1"/>
      <w:numFmt w:val="decimal"/>
      <w:lvlText w:val="%1."/>
      <w:lvlJc w:val="left"/>
      <w:pPr>
        <w:tabs>
          <w:tab w:val="num" w:pos="643"/>
        </w:tabs>
        <w:ind w:left="643" w:hanging="360"/>
      </w:pPr>
    </w:lvl>
  </w:abstractNum>
  <w:abstractNum w:abstractNumId="5">
    <w:nsid w:val="FFFFFF80"/>
    <w:multiLevelType w:val="singleLevel"/>
    <w:tmpl w:val="47CCA90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3E652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E6EDBE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3D421A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5F0DB24"/>
    <w:lvl w:ilvl="0">
      <w:start w:val="1"/>
      <w:numFmt w:val="decimal"/>
      <w:lvlText w:val="%1."/>
      <w:lvlJc w:val="left"/>
      <w:pPr>
        <w:tabs>
          <w:tab w:val="num" w:pos="360"/>
        </w:tabs>
        <w:ind w:left="360" w:hanging="360"/>
      </w:pPr>
    </w:lvl>
  </w:abstractNum>
  <w:abstractNum w:abstractNumId="10">
    <w:nsid w:val="FFFFFF89"/>
    <w:multiLevelType w:val="singleLevel"/>
    <w:tmpl w:val="4468D1AA"/>
    <w:lvl w:ilvl="0">
      <w:start w:val="1"/>
      <w:numFmt w:val="bullet"/>
      <w:lvlText w:val=""/>
      <w:lvlJc w:val="left"/>
      <w:pPr>
        <w:tabs>
          <w:tab w:val="num" w:pos="360"/>
        </w:tabs>
        <w:ind w:left="360" w:hanging="360"/>
      </w:pPr>
      <w:rPr>
        <w:rFonts w:ascii="Symbol" w:hAnsi="Symbol" w:hint="default"/>
      </w:rPr>
    </w:lvl>
  </w:abstractNum>
  <w:abstractNum w:abstractNumId="11">
    <w:nsid w:val="0795138A"/>
    <w:multiLevelType w:val="hybridMultilevel"/>
    <w:tmpl w:val="9B3CF748"/>
    <w:lvl w:ilvl="0" w:tplc="CBAE5D2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B09054A"/>
    <w:multiLevelType w:val="hybridMultilevel"/>
    <w:tmpl w:val="4CB67390"/>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3">
    <w:nsid w:val="0FAD0D20"/>
    <w:multiLevelType w:val="hybridMultilevel"/>
    <w:tmpl w:val="7AF8E71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0F">
      <w:start w:val="1"/>
      <w:numFmt w:val="decimal"/>
      <w:lvlText w:val="%3."/>
      <w:lvlJc w:val="left"/>
      <w:pPr>
        <w:ind w:left="2160" w:hanging="18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6AD20AE"/>
    <w:multiLevelType w:val="hybridMultilevel"/>
    <w:tmpl w:val="9AD0C3E8"/>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3831A82"/>
    <w:multiLevelType w:val="multilevel"/>
    <w:tmpl w:val="634CD88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28347A2F"/>
    <w:multiLevelType w:val="hybridMultilevel"/>
    <w:tmpl w:val="7570D3F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2850458C"/>
    <w:multiLevelType w:val="hybridMultilevel"/>
    <w:tmpl w:val="2FB45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81223B"/>
    <w:multiLevelType w:val="hybridMultilevel"/>
    <w:tmpl w:val="06D21B3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A31BC2"/>
    <w:multiLevelType w:val="hybridMultilevel"/>
    <w:tmpl w:val="086A4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472677"/>
    <w:multiLevelType w:val="hybridMultilevel"/>
    <w:tmpl w:val="AF363AD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587362"/>
    <w:multiLevelType w:val="hybridMultilevel"/>
    <w:tmpl w:val="ECB8D39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AC12BC0"/>
    <w:multiLevelType w:val="hybridMultilevel"/>
    <w:tmpl w:val="2DBCD26A"/>
    <w:lvl w:ilvl="0" w:tplc="D144CDE0">
      <w:start w:val="1"/>
      <w:numFmt w:val="lowerRoman"/>
      <w:pStyle w:val="Heading1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F5416"/>
    <w:multiLevelType w:val="hybridMultilevel"/>
    <w:tmpl w:val="AA027F04"/>
    <w:lvl w:ilvl="0" w:tplc="0C09000F">
      <w:start w:val="1"/>
      <w:numFmt w:val="decimal"/>
      <w:lvlText w:val="%1."/>
      <w:lvlJc w:val="left"/>
      <w:pPr>
        <w:ind w:left="720" w:hanging="360"/>
      </w:pPr>
      <w:rPr>
        <w:rFonts w:hint="default"/>
        <w:b w:val="0"/>
        <w:sz w:val="24"/>
        <w:u w:val="no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0A52259"/>
    <w:multiLevelType w:val="hybridMultilevel"/>
    <w:tmpl w:val="F7AE6BD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55C7A53"/>
    <w:multiLevelType w:val="hybridMultilevel"/>
    <w:tmpl w:val="CE7644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73543D5"/>
    <w:multiLevelType w:val="hybridMultilevel"/>
    <w:tmpl w:val="E656EF86"/>
    <w:lvl w:ilvl="0" w:tplc="0809000F">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7">
    <w:nsid w:val="64C1797B"/>
    <w:multiLevelType w:val="hybridMultilevel"/>
    <w:tmpl w:val="AA027F04"/>
    <w:lvl w:ilvl="0" w:tplc="0C09000F">
      <w:start w:val="1"/>
      <w:numFmt w:val="decimal"/>
      <w:lvlText w:val="%1."/>
      <w:lvlJc w:val="left"/>
      <w:pPr>
        <w:ind w:left="720" w:hanging="360"/>
      </w:pPr>
      <w:rPr>
        <w:rFonts w:hint="default"/>
        <w:b w:val="0"/>
        <w:sz w:val="24"/>
        <w:u w:val="no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67F69A6"/>
    <w:multiLevelType w:val="hybridMultilevel"/>
    <w:tmpl w:val="FFEA8276"/>
    <w:lvl w:ilvl="0" w:tplc="08090001">
      <w:start w:val="1"/>
      <w:numFmt w:val="bullet"/>
      <w:lvlText w:val=""/>
      <w:lvlJc w:val="left"/>
      <w:pPr>
        <w:ind w:left="720" w:hanging="360"/>
      </w:pPr>
      <w:rPr>
        <w:rFonts w:ascii="Symbol" w:hAnsi="Symbol" w:hint="default"/>
      </w:rPr>
    </w:lvl>
    <w:lvl w:ilvl="1" w:tplc="DA28BD46">
      <w:start w:val="1"/>
      <w:numFmt w:val="decimal"/>
      <w:lvlText w:val="%2."/>
      <w:lvlJc w:val="left"/>
      <w:pPr>
        <w:ind w:left="1440" w:hanging="360"/>
      </w:pPr>
      <w:rPr>
        <w:b/>
        <w:sz w:val="20"/>
        <w:szCs w:val="20"/>
      </w:rPr>
    </w:lvl>
    <w:lvl w:ilvl="2" w:tplc="0809001B">
      <w:start w:val="1"/>
      <w:numFmt w:val="lowerRoman"/>
      <w:lvlText w:val="%3."/>
      <w:lvlJc w:val="right"/>
      <w:pPr>
        <w:ind w:left="2160" w:hanging="180"/>
      </w:pPr>
    </w:lvl>
    <w:lvl w:ilvl="3" w:tplc="CAEC6AE6">
      <w:start w:val="6"/>
      <w:numFmt w:val="bullet"/>
      <w:lvlText w:val="-"/>
      <w:lvlJc w:val="left"/>
      <w:pPr>
        <w:ind w:left="2880" w:hanging="360"/>
      </w:pPr>
      <w:rPr>
        <w:rFonts w:ascii="Calibri" w:eastAsia="Calibri" w:hAnsi="Calibri" w:cs="Calibri"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AA004C"/>
    <w:multiLevelType w:val="multilevel"/>
    <w:tmpl w:val="40CA0D3C"/>
    <w:lvl w:ilvl="0">
      <w:start w:val="1"/>
      <w:numFmt w:val="decimal"/>
      <w:lvlText w:val="%1."/>
      <w:lvlJc w:val="left"/>
      <w:pPr>
        <w:tabs>
          <w:tab w:val="num" w:pos="360"/>
        </w:tabs>
        <w:ind w:left="360" w:hanging="360"/>
      </w:pPr>
      <w:rPr>
        <w:rFonts w:hint="default"/>
        <w:b/>
        <w:sz w:val="22"/>
        <w:szCs w:val="22"/>
      </w:rPr>
    </w:lvl>
    <w:lvl w:ilvl="1">
      <w:start w:val="1"/>
      <w:numFmt w:val="decimal"/>
      <w:lvlText w:val="%1.%2."/>
      <w:lvlJc w:val="left"/>
      <w:pPr>
        <w:tabs>
          <w:tab w:val="num" w:pos="1080"/>
        </w:tabs>
        <w:ind w:left="792" w:hanging="432"/>
      </w:pPr>
      <w:rPr>
        <w:rFonts w:hint="default"/>
      </w:rPr>
    </w:lvl>
    <w:lvl w:ilvl="2">
      <w:start w:val="1"/>
      <w:numFmt w:val="decimal"/>
      <w:lvlText w:val="%3."/>
      <w:lvlJc w:val="left"/>
      <w:pPr>
        <w:tabs>
          <w:tab w:val="num" w:pos="1800"/>
        </w:tabs>
        <w:ind w:left="1224" w:hanging="504"/>
      </w:pPr>
      <w:rPr>
        <w:rFonts w:hint="default"/>
        <w:b/>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74135DBD"/>
    <w:multiLevelType w:val="hybridMultilevel"/>
    <w:tmpl w:val="73FCF9D2"/>
    <w:lvl w:ilvl="0" w:tplc="8188B0D4">
      <w:start w:val="1"/>
      <w:numFmt w:val="bullet"/>
      <w:pStyle w:val="ListParagraph"/>
      <w:lvlText w:val=""/>
      <w:lvlJc w:val="left"/>
      <w:pPr>
        <w:ind w:left="108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53B0E85"/>
    <w:multiLevelType w:val="hybridMultilevel"/>
    <w:tmpl w:val="CFD452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5"/>
  </w:num>
  <w:num w:numId="2">
    <w:abstractNumId w:val="30"/>
  </w:num>
  <w:num w:numId="3">
    <w:abstractNumId w:val="21"/>
  </w:num>
  <w:num w:numId="4">
    <w:abstractNumId w:val="12"/>
  </w:num>
  <w:num w:numId="5">
    <w:abstractNumId w:val="13"/>
  </w:num>
  <w:num w:numId="6">
    <w:abstractNumId w:val="23"/>
  </w:num>
  <w:num w:numId="7">
    <w:abstractNumId w:val="27"/>
  </w:num>
  <w:num w:numId="8">
    <w:abstractNumId w:val="24"/>
  </w:num>
  <w:num w:numId="9">
    <w:abstractNumId w:val="25"/>
  </w:num>
  <w:num w:numId="10">
    <w:abstractNumId w:val="28"/>
  </w:num>
  <w:num w:numId="11">
    <w:abstractNumId w:val="18"/>
  </w:num>
  <w:num w:numId="12">
    <w:abstractNumId w:val="19"/>
  </w:num>
  <w:num w:numId="13">
    <w:abstractNumId w:val="17"/>
  </w:num>
  <w:num w:numId="14">
    <w:abstractNumId w:val="29"/>
  </w:num>
  <w:num w:numId="15">
    <w:abstractNumId w:val="30"/>
  </w:num>
  <w:num w:numId="16">
    <w:abstractNumId w:val="11"/>
  </w:num>
  <w:num w:numId="17">
    <w:abstractNumId w:val="20"/>
  </w:num>
  <w:num w:numId="18">
    <w:abstractNumId w:val="14"/>
  </w:num>
  <w:num w:numId="19">
    <w:abstractNumId w:val="26"/>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0"/>
  </w:num>
  <w:num w:numId="28">
    <w:abstractNumId w:val="8"/>
  </w:num>
  <w:num w:numId="29">
    <w:abstractNumId w:val="7"/>
  </w:num>
  <w:num w:numId="30">
    <w:abstractNumId w:val="6"/>
  </w:num>
  <w:num w:numId="31">
    <w:abstractNumId w:val="5"/>
  </w:num>
  <w:num w:numId="32">
    <w:abstractNumId w:val="9"/>
  </w:num>
  <w:num w:numId="33">
    <w:abstractNumId w:val="4"/>
  </w:num>
  <w:num w:numId="34">
    <w:abstractNumId w:val="3"/>
  </w:num>
  <w:num w:numId="35">
    <w:abstractNumId w:val="2"/>
  </w:num>
  <w:num w:numId="36">
    <w:abstractNumId w:val="1"/>
  </w:num>
  <w:num w:numId="37">
    <w:abstractNumId w:val="22"/>
  </w:num>
  <w:num w:numId="38">
    <w:abstractNumId w:val="0"/>
  </w:num>
  <w:num w:numId="39">
    <w:abstractNumId w:val="31"/>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1024"/>
  <w:defaultTabStop w:val="720"/>
  <w:drawingGridHorizontalSpacing w:val="100"/>
  <w:displayHorizontalDrawingGridEvery w:val="2"/>
  <w:characterSpacingControl w:val="doNotCompress"/>
  <w:hdrShapeDefaults>
    <o:shapedefaults v:ext="edit" spidmax="105474">
      <o:colormenu v:ext="edit" fillcolor="none [3212]" strokecolor="none [3212]"/>
    </o:shapedefaults>
  </w:hdrShapeDefaults>
  <w:footnotePr>
    <w:footnote w:id="0"/>
    <w:footnote w:id="1"/>
  </w:footnotePr>
  <w:endnotePr>
    <w:endnote w:id="0"/>
    <w:endnote w:id="1"/>
  </w:endnotePr>
  <w:compat/>
  <w:rsids>
    <w:rsidRoot w:val="00BB03EB"/>
    <w:rsid w:val="00001C6F"/>
    <w:rsid w:val="00003BA6"/>
    <w:rsid w:val="0000529A"/>
    <w:rsid w:val="000105C9"/>
    <w:rsid w:val="00014BF3"/>
    <w:rsid w:val="00017C28"/>
    <w:rsid w:val="00021C20"/>
    <w:rsid w:val="00024BA7"/>
    <w:rsid w:val="00031EB4"/>
    <w:rsid w:val="00036695"/>
    <w:rsid w:val="00037379"/>
    <w:rsid w:val="00037D43"/>
    <w:rsid w:val="00047A5F"/>
    <w:rsid w:val="00052B43"/>
    <w:rsid w:val="00054EBB"/>
    <w:rsid w:val="00055F63"/>
    <w:rsid w:val="00056694"/>
    <w:rsid w:val="00057AB8"/>
    <w:rsid w:val="0006138E"/>
    <w:rsid w:val="00061FFD"/>
    <w:rsid w:val="0006390D"/>
    <w:rsid w:val="00066685"/>
    <w:rsid w:val="00067FB1"/>
    <w:rsid w:val="00070A38"/>
    <w:rsid w:val="00075DD9"/>
    <w:rsid w:val="00075FE5"/>
    <w:rsid w:val="000802AD"/>
    <w:rsid w:val="0008210B"/>
    <w:rsid w:val="00082853"/>
    <w:rsid w:val="00082C9D"/>
    <w:rsid w:val="00093744"/>
    <w:rsid w:val="00094889"/>
    <w:rsid w:val="00095B24"/>
    <w:rsid w:val="000A29F6"/>
    <w:rsid w:val="000A4F92"/>
    <w:rsid w:val="000A7552"/>
    <w:rsid w:val="000B0B65"/>
    <w:rsid w:val="000B105B"/>
    <w:rsid w:val="000B4F93"/>
    <w:rsid w:val="000B6736"/>
    <w:rsid w:val="000C2777"/>
    <w:rsid w:val="000C3B51"/>
    <w:rsid w:val="000C6406"/>
    <w:rsid w:val="000D09E7"/>
    <w:rsid w:val="000D1825"/>
    <w:rsid w:val="000D335A"/>
    <w:rsid w:val="000E6168"/>
    <w:rsid w:val="000F167E"/>
    <w:rsid w:val="000F47F8"/>
    <w:rsid w:val="000F4DE3"/>
    <w:rsid w:val="00100195"/>
    <w:rsid w:val="001017F2"/>
    <w:rsid w:val="001030EB"/>
    <w:rsid w:val="00105C4A"/>
    <w:rsid w:val="00107D87"/>
    <w:rsid w:val="001121E6"/>
    <w:rsid w:val="0011342A"/>
    <w:rsid w:val="00120636"/>
    <w:rsid w:val="00121418"/>
    <w:rsid w:val="00124E9F"/>
    <w:rsid w:val="001271DE"/>
    <w:rsid w:val="00130241"/>
    <w:rsid w:val="00130E79"/>
    <w:rsid w:val="00132C00"/>
    <w:rsid w:val="001345A5"/>
    <w:rsid w:val="0013751C"/>
    <w:rsid w:val="0015141E"/>
    <w:rsid w:val="001516B8"/>
    <w:rsid w:val="001579B1"/>
    <w:rsid w:val="00157D2E"/>
    <w:rsid w:val="00161806"/>
    <w:rsid w:val="0016614B"/>
    <w:rsid w:val="00166C54"/>
    <w:rsid w:val="0017138A"/>
    <w:rsid w:val="00173037"/>
    <w:rsid w:val="00174D18"/>
    <w:rsid w:val="001805F5"/>
    <w:rsid w:val="001807EE"/>
    <w:rsid w:val="00182916"/>
    <w:rsid w:val="0018389A"/>
    <w:rsid w:val="00183E38"/>
    <w:rsid w:val="001869B2"/>
    <w:rsid w:val="00191F4F"/>
    <w:rsid w:val="0019468A"/>
    <w:rsid w:val="00196255"/>
    <w:rsid w:val="001A249A"/>
    <w:rsid w:val="001A3922"/>
    <w:rsid w:val="001B3045"/>
    <w:rsid w:val="001B3384"/>
    <w:rsid w:val="001B5767"/>
    <w:rsid w:val="001C0002"/>
    <w:rsid w:val="001C0EDF"/>
    <w:rsid w:val="001C5450"/>
    <w:rsid w:val="001C5F33"/>
    <w:rsid w:val="001C6C6D"/>
    <w:rsid w:val="001C7704"/>
    <w:rsid w:val="001D09AE"/>
    <w:rsid w:val="001E31B1"/>
    <w:rsid w:val="001E3BDE"/>
    <w:rsid w:val="001E4932"/>
    <w:rsid w:val="001F1061"/>
    <w:rsid w:val="001F1FFA"/>
    <w:rsid w:val="001F3CB2"/>
    <w:rsid w:val="001F68DE"/>
    <w:rsid w:val="00213841"/>
    <w:rsid w:val="002168B7"/>
    <w:rsid w:val="0023166E"/>
    <w:rsid w:val="002346B3"/>
    <w:rsid w:val="00234AB1"/>
    <w:rsid w:val="00236233"/>
    <w:rsid w:val="002367FE"/>
    <w:rsid w:val="002368DD"/>
    <w:rsid w:val="00241DBC"/>
    <w:rsid w:val="00241E41"/>
    <w:rsid w:val="00251D4B"/>
    <w:rsid w:val="00252B09"/>
    <w:rsid w:val="00261870"/>
    <w:rsid w:val="00267FCA"/>
    <w:rsid w:val="002710EF"/>
    <w:rsid w:val="00273E37"/>
    <w:rsid w:val="0027514C"/>
    <w:rsid w:val="00276B6E"/>
    <w:rsid w:val="002771FE"/>
    <w:rsid w:val="0028248F"/>
    <w:rsid w:val="00285D49"/>
    <w:rsid w:val="00291114"/>
    <w:rsid w:val="00292161"/>
    <w:rsid w:val="00296596"/>
    <w:rsid w:val="002A2474"/>
    <w:rsid w:val="002A66AC"/>
    <w:rsid w:val="002A6CE0"/>
    <w:rsid w:val="002A7C9A"/>
    <w:rsid w:val="002B0212"/>
    <w:rsid w:val="002B25AD"/>
    <w:rsid w:val="002B32A7"/>
    <w:rsid w:val="002D1AD4"/>
    <w:rsid w:val="002D2130"/>
    <w:rsid w:val="002D252A"/>
    <w:rsid w:val="002D3A56"/>
    <w:rsid w:val="002D3B7E"/>
    <w:rsid w:val="002D3E34"/>
    <w:rsid w:val="002D4FAA"/>
    <w:rsid w:val="002E5266"/>
    <w:rsid w:val="002E5D6A"/>
    <w:rsid w:val="002F3BCF"/>
    <w:rsid w:val="0030614B"/>
    <w:rsid w:val="003138F2"/>
    <w:rsid w:val="00314694"/>
    <w:rsid w:val="00330AD4"/>
    <w:rsid w:val="003322DD"/>
    <w:rsid w:val="00342E3D"/>
    <w:rsid w:val="0034623E"/>
    <w:rsid w:val="00347440"/>
    <w:rsid w:val="003479FB"/>
    <w:rsid w:val="00360496"/>
    <w:rsid w:val="00363888"/>
    <w:rsid w:val="00367144"/>
    <w:rsid w:val="0037080D"/>
    <w:rsid w:val="00371BED"/>
    <w:rsid w:val="003769D7"/>
    <w:rsid w:val="003808F0"/>
    <w:rsid w:val="003837C5"/>
    <w:rsid w:val="003903DB"/>
    <w:rsid w:val="0039628F"/>
    <w:rsid w:val="003A3EE7"/>
    <w:rsid w:val="003A4FBB"/>
    <w:rsid w:val="003A7A78"/>
    <w:rsid w:val="003B16A1"/>
    <w:rsid w:val="003B2D54"/>
    <w:rsid w:val="003B3804"/>
    <w:rsid w:val="003B38BC"/>
    <w:rsid w:val="003B6CE8"/>
    <w:rsid w:val="003C1D4D"/>
    <w:rsid w:val="003C48FF"/>
    <w:rsid w:val="003C63EE"/>
    <w:rsid w:val="003C7391"/>
    <w:rsid w:val="003C74F6"/>
    <w:rsid w:val="003D3474"/>
    <w:rsid w:val="003E1100"/>
    <w:rsid w:val="003E6B71"/>
    <w:rsid w:val="003E73B4"/>
    <w:rsid w:val="003F0A71"/>
    <w:rsid w:val="003F2E5A"/>
    <w:rsid w:val="003F4890"/>
    <w:rsid w:val="003F793C"/>
    <w:rsid w:val="00405624"/>
    <w:rsid w:val="00406865"/>
    <w:rsid w:val="00406E36"/>
    <w:rsid w:val="00417D88"/>
    <w:rsid w:val="004202DE"/>
    <w:rsid w:val="00420F54"/>
    <w:rsid w:val="004224CF"/>
    <w:rsid w:val="004260C6"/>
    <w:rsid w:val="0042777E"/>
    <w:rsid w:val="00432846"/>
    <w:rsid w:val="004340FD"/>
    <w:rsid w:val="004427BD"/>
    <w:rsid w:val="0045328C"/>
    <w:rsid w:val="00453D95"/>
    <w:rsid w:val="004548F3"/>
    <w:rsid w:val="00463F1B"/>
    <w:rsid w:val="00464006"/>
    <w:rsid w:val="0046617B"/>
    <w:rsid w:val="004678EA"/>
    <w:rsid w:val="004708F1"/>
    <w:rsid w:val="00472014"/>
    <w:rsid w:val="00474B46"/>
    <w:rsid w:val="00474E54"/>
    <w:rsid w:val="004771FD"/>
    <w:rsid w:val="00484038"/>
    <w:rsid w:val="00487FBC"/>
    <w:rsid w:val="00493BAE"/>
    <w:rsid w:val="004A0E66"/>
    <w:rsid w:val="004A1B22"/>
    <w:rsid w:val="004A5D92"/>
    <w:rsid w:val="004A66C4"/>
    <w:rsid w:val="004B07FF"/>
    <w:rsid w:val="004B2DE1"/>
    <w:rsid w:val="004B2FCC"/>
    <w:rsid w:val="004B37BC"/>
    <w:rsid w:val="004C0D33"/>
    <w:rsid w:val="004C5CE9"/>
    <w:rsid w:val="004C6811"/>
    <w:rsid w:val="004D3440"/>
    <w:rsid w:val="004D7077"/>
    <w:rsid w:val="004E37B8"/>
    <w:rsid w:val="004E3DAD"/>
    <w:rsid w:val="004E739C"/>
    <w:rsid w:val="004F374F"/>
    <w:rsid w:val="004F46BE"/>
    <w:rsid w:val="005058FE"/>
    <w:rsid w:val="0050650F"/>
    <w:rsid w:val="00506CBA"/>
    <w:rsid w:val="005109FA"/>
    <w:rsid w:val="0051523C"/>
    <w:rsid w:val="00517D69"/>
    <w:rsid w:val="00523D7B"/>
    <w:rsid w:val="00526F5E"/>
    <w:rsid w:val="00533E1D"/>
    <w:rsid w:val="00536145"/>
    <w:rsid w:val="00537FA5"/>
    <w:rsid w:val="00541DEF"/>
    <w:rsid w:val="005430C8"/>
    <w:rsid w:val="0054361A"/>
    <w:rsid w:val="00547D1D"/>
    <w:rsid w:val="005548A1"/>
    <w:rsid w:val="00562957"/>
    <w:rsid w:val="005644EA"/>
    <w:rsid w:val="0056555F"/>
    <w:rsid w:val="0056573F"/>
    <w:rsid w:val="00566997"/>
    <w:rsid w:val="00570E6F"/>
    <w:rsid w:val="00573D87"/>
    <w:rsid w:val="0058030A"/>
    <w:rsid w:val="00580771"/>
    <w:rsid w:val="00584EFF"/>
    <w:rsid w:val="00585629"/>
    <w:rsid w:val="00586BFE"/>
    <w:rsid w:val="00590E10"/>
    <w:rsid w:val="005939DF"/>
    <w:rsid w:val="00596040"/>
    <w:rsid w:val="00597936"/>
    <w:rsid w:val="005A5D05"/>
    <w:rsid w:val="005B1CBF"/>
    <w:rsid w:val="005B3926"/>
    <w:rsid w:val="005B3AD9"/>
    <w:rsid w:val="005C0F9F"/>
    <w:rsid w:val="005C1E7C"/>
    <w:rsid w:val="005C40C4"/>
    <w:rsid w:val="005D57EB"/>
    <w:rsid w:val="005D6297"/>
    <w:rsid w:val="005E0167"/>
    <w:rsid w:val="005E5862"/>
    <w:rsid w:val="005E65FE"/>
    <w:rsid w:val="005E798D"/>
    <w:rsid w:val="005F31D2"/>
    <w:rsid w:val="006001DB"/>
    <w:rsid w:val="00600AB7"/>
    <w:rsid w:val="00601081"/>
    <w:rsid w:val="00601948"/>
    <w:rsid w:val="00604B5A"/>
    <w:rsid w:val="00607D9B"/>
    <w:rsid w:val="006105EF"/>
    <w:rsid w:val="00611B3C"/>
    <w:rsid w:val="00615AFC"/>
    <w:rsid w:val="00617491"/>
    <w:rsid w:val="00632FDD"/>
    <w:rsid w:val="00634261"/>
    <w:rsid w:val="00637015"/>
    <w:rsid w:val="00640A42"/>
    <w:rsid w:val="00650B37"/>
    <w:rsid w:val="006526E1"/>
    <w:rsid w:val="006571B3"/>
    <w:rsid w:val="006729D8"/>
    <w:rsid w:val="00682367"/>
    <w:rsid w:val="006824D4"/>
    <w:rsid w:val="00690B05"/>
    <w:rsid w:val="00692D53"/>
    <w:rsid w:val="00694115"/>
    <w:rsid w:val="00695609"/>
    <w:rsid w:val="00695EE7"/>
    <w:rsid w:val="006972C9"/>
    <w:rsid w:val="006A33EC"/>
    <w:rsid w:val="006A450C"/>
    <w:rsid w:val="006A5691"/>
    <w:rsid w:val="006A6525"/>
    <w:rsid w:val="006B21BC"/>
    <w:rsid w:val="006B4476"/>
    <w:rsid w:val="006B6EC8"/>
    <w:rsid w:val="006C072E"/>
    <w:rsid w:val="006C2167"/>
    <w:rsid w:val="006C3503"/>
    <w:rsid w:val="006C497C"/>
    <w:rsid w:val="006C4CB2"/>
    <w:rsid w:val="006C5F09"/>
    <w:rsid w:val="006C67A9"/>
    <w:rsid w:val="006D66F1"/>
    <w:rsid w:val="00716A8D"/>
    <w:rsid w:val="00720838"/>
    <w:rsid w:val="00720B6D"/>
    <w:rsid w:val="00727A06"/>
    <w:rsid w:val="00732643"/>
    <w:rsid w:val="00736699"/>
    <w:rsid w:val="0074234F"/>
    <w:rsid w:val="0075234C"/>
    <w:rsid w:val="0075304E"/>
    <w:rsid w:val="007560E1"/>
    <w:rsid w:val="00756E9B"/>
    <w:rsid w:val="007625A4"/>
    <w:rsid w:val="00765565"/>
    <w:rsid w:val="00766906"/>
    <w:rsid w:val="007711F0"/>
    <w:rsid w:val="00785184"/>
    <w:rsid w:val="007875F8"/>
    <w:rsid w:val="007901A3"/>
    <w:rsid w:val="007910B3"/>
    <w:rsid w:val="00793F64"/>
    <w:rsid w:val="00794588"/>
    <w:rsid w:val="007A1874"/>
    <w:rsid w:val="007A3168"/>
    <w:rsid w:val="007A59FC"/>
    <w:rsid w:val="007B790E"/>
    <w:rsid w:val="007D37BC"/>
    <w:rsid w:val="007E069F"/>
    <w:rsid w:val="007E65B6"/>
    <w:rsid w:val="007E7362"/>
    <w:rsid w:val="007F19B2"/>
    <w:rsid w:val="007F4DBD"/>
    <w:rsid w:val="007F5240"/>
    <w:rsid w:val="00806D64"/>
    <w:rsid w:val="00807102"/>
    <w:rsid w:val="00810AF8"/>
    <w:rsid w:val="00812EDA"/>
    <w:rsid w:val="00825C35"/>
    <w:rsid w:val="008314DC"/>
    <w:rsid w:val="00831EFA"/>
    <w:rsid w:val="00832B5D"/>
    <w:rsid w:val="008347AC"/>
    <w:rsid w:val="0084066E"/>
    <w:rsid w:val="00844E80"/>
    <w:rsid w:val="0084698C"/>
    <w:rsid w:val="008521E1"/>
    <w:rsid w:val="008538D1"/>
    <w:rsid w:val="008557D0"/>
    <w:rsid w:val="00860D2D"/>
    <w:rsid w:val="00863AD3"/>
    <w:rsid w:val="008758FD"/>
    <w:rsid w:val="00876AB2"/>
    <w:rsid w:val="00877F81"/>
    <w:rsid w:val="00883152"/>
    <w:rsid w:val="00887E4D"/>
    <w:rsid w:val="00892D5A"/>
    <w:rsid w:val="00893A46"/>
    <w:rsid w:val="00895CF8"/>
    <w:rsid w:val="008A1511"/>
    <w:rsid w:val="008A2EBE"/>
    <w:rsid w:val="008A30C2"/>
    <w:rsid w:val="008A3637"/>
    <w:rsid w:val="008A48E4"/>
    <w:rsid w:val="008A5744"/>
    <w:rsid w:val="008A6767"/>
    <w:rsid w:val="008A74D0"/>
    <w:rsid w:val="008A7EB0"/>
    <w:rsid w:val="008B0357"/>
    <w:rsid w:val="008B0C4B"/>
    <w:rsid w:val="008C0C46"/>
    <w:rsid w:val="008C7988"/>
    <w:rsid w:val="008D1038"/>
    <w:rsid w:val="008D17F9"/>
    <w:rsid w:val="008D2B6A"/>
    <w:rsid w:val="008D344C"/>
    <w:rsid w:val="008D45BD"/>
    <w:rsid w:val="008D65B8"/>
    <w:rsid w:val="008E62DE"/>
    <w:rsid w:val="008E77F6"/>
    <w:rsid w:val="008F2CDF"/>
    <w:rsid w:val="008F36EA"/>
    <w:rsid w:val="008F3D88"/>
    <w:rsid w:val="008F7C46"/>
    <w:rsid w:val="00902AD7"/>
    <w:rsid w:val="00906CE2"/>
    <w:rsid w:val="00921BE9"/>
    <w:rsid w:val="009220EE"/>
    <w:rsid w:val="00925317"/>
    <w:rsid w:val="0094113F"/>
    <w:rsid w:val="00943748"/>
    <w:rsid w:val="00946357"/>
    <w:rsid w:val="00951B13"/>
    <w:rsid w:val="00952418"/>
    <w:rsid w:val="00957481"/>
    <w:rsid w:val="0096025F"/>
    <w:rsid w:val="00961C00"/>
    <w:rsid w:val="00963AD4"/>
    <w:rsid w:val="0096704E"/>
    <w:rsid w:val="00970DEC"/>
    <w:rsid w:val="00971C78"/>
    <w:rsid w:val="00973D30"/>
    <w:rsid w:val="0098442C"/>
    <w:rsid w:val="0099226B"/>
    <w:rsid w:val="00996D22"/>
    <w:rsid w:val="009A5392"/>
    <w:rsid w:val="009B05F1"/>
    <w:rsid w:val="009B3E7B"/>
    <w:rsid w:val="009C046F"/>
    <w:rsid w:val="009C074E"/>
    <w:rsid w:val="009C16F7"/>
    <w:rsid w:val="009C1C0E"/>
    <w:rsid w:val="009C341A"/>
    <w:rsid w:val="009C5795"/>
    <w:rsid w:val="009D02D7"/>
    <w:rsid w:val="009D0A52"/>
    <w:rsid w:val="009D3346"/>
    <w:rsid w:val="009D702F"/>
    <w:rsid w:val="009E1E37"/>
    <w:rsid w:val="009E6356"/>
    <w:rsid w:val="009E7118"/>
    <w:rsid w:val="009E7F8A"/>
    <w:rsid w:val="009F18F4"/>
    <w:rsid w:val="009F4B4B"/>
    <w:rsid w:val="009F530E"/>
    <w:rsid w:val="009F5FBA"/>
    <w:rsid w:val="009F6140"/>
    <w:rsid w:val="00A06400"/>
    <w:rsid w:val="00A128E8"/>
    <w:rsid w:val="00A1609C"/>
    <w:rsid w:val="00A205A9"/>
    <w:rsid w:val="00A2136A"/>
    <w:rsid w:val="00A246E0"/>
    <w:rsid w:val="00A33DE8"/>
    <w:rsid w:val="00A4180C"/>
    <w:rsid w:val="00A429B8"/>
    <w:rsid w:val="00A478AC"/>
    <w:rsid w:val="00A62E79"/>
    <w:rsid w:val="00A63160"/>
    <w:rsid w:val="00A65703"/>
    <w:rsid w:val="00A65F66"/>
    <w:rsid w:val="00A676D9"/>
    <w:rsid w:val="00A73FE6"/>
    <w:rsid w:val="00A7621C"/>
    <w:rsid w:val="00A810C9"/>
    <w:rsid w:val="00A851BB"/>
    <w:rsid w:val="00A86B9B"/>
    <w:rsid w:val="00A922B5"/>
    <w:rsid w:val="00A93F5B"/>
    <w:rsid w:val="00AA2DB7"/>
    <w:rsid w:val="00AA37A5"/>
    <w:rsid w:val="00AA3A51"/>
    <w:rsid w:val="00AB0766"/>
    <w:rsid w:val="00AB128B"/>
    <w:rsid w:val="00AB298A"/>
    <w:rsid w:val="00AB49FC"/>
    <w:rsid w:val="00AB4EBF"/>
    <w:rsid w:val="00AC0BD5"/>
    <w:rsid w:val="00AC5E39"/>
    <w:rsid w:val="00AC6642"/>
    <w:rsid w:val="00AC7A1C"/>
    <w:rsid w:val="00AD32BE"/>
    <w:rsid w:val="00AD60B1"/>
    <w:rsid w:val="00AE1644"/>
    <w:rsid w:val="00AE2C73"/>
    <w:rsid w:val="00AF7FC7"/>
    <w:rsid w:val="00B0419D"/>
    <w:rsid w:val="00B050F5"/>
    <w:rsid w:val="00B10778"/>
    <w:rsid w:val="00B1139E"/>
    <w:rsid w:val="00B14DC9"/>
    <w:rsid w:val="00B14E93"/>
    <w:rsid w:val="00B21575"/>
    <w:rsid w:val="00B21A04"/>
    <w:rsid w:val="00B246E9"/>
    <w:rsid w:val="00B35DA5"/>
    <w:rsid w:val="00B374AD"/>
    <w:rsid w:val="00B43469"/>
    <w:rsid w:val="00B55D86"/>
    <w:rsid w:val="00B55F88"/>
    <w:rsid w:val="00B57A2B"/>
    <w:rsid w:val="00B653EC"/>
    <w:rsid w:val="00B71557"/>
    <w:rsid w:val="00B72D87"/>
    <w:rsid w:val="00B732A4"/>
    <w:rsid w:val="00B746A6"/>
    <w:rsid w:val="00B76104"/>
    <w:rsid w:val="00B76311"/>
    <w:rsid w:val="00B802FC"/>
    <w:rsid w:val="00B82A76"/>
    <w:rsid w:val="00B87C3E"/>
    <w:rsid w:val="00B904C6"/>
    <w:rsid w:val="00B90F3C"/>
    <w:rsid w:val="00B90FA4"/>
    <w:rsid w:val="00B9136D"/>
    <w:rsid w:val="00B946E5"/>
    <w:rsid w:val="00B96473"/>
    <w:rsid w:val="00BB03EB"/>
    <w:rsid w:val="00BB0767"/>
    <w:rsid w:val="00BB3F50"/>
    <w:rsid w:val="00BC1CA5"/>
    <w:rsid w:val="00BC40DE"/>
    <w:rsid w:val="00BC4E07"/>
    <w:rsid w:val="00BC64CA"/>
    <w:rsid w:val="00BD4468"/>
    <w:rsid w:val="00BD4D50"/>
    <w:rsid w:val="00BE00AE"/>
    <w:rsid w:val="00BE12E0"/>
    <w:rsid w:val="00BE7E29"/>
    <w:rsid w:val="00BF115F"/>
    <w:rsid w:val="00BF1344"/>
    <w:rsid w:val="00BF3C82"/>
    <w:rsid w:val="00BF628F"/>
    <w:rsid w:val="00C06509"/>
    <w:rsid w:val="00C150C2"/>
    <w:rsid w:val="00C15202"/>
    <w:rsid w:val="00C168EB"/>
    <w:rsid w:val="00C16E1C"/>
    <w:rsid w:val="00C26D8D"/>
    <w:rsid w:val="00C3106E"/>
    <w:rsid w:val="00C47454"/>
    <w:rsid w:val="00C54899"/>
    <w:rsid w:val="00C55E2A"/>
    <w:rsid w:val="00C61D8A"/>
    <w:rsid w:val="00C624FE"/>
    <w:rsid w:val="00C63824"/>
    <w:rsid w:val="00C64A3A"/>
    <w:rsid w:val="00C6744B"/>
    <w:rsid w:val="00C758E1"/>
    <w:rsid w:val="00C76CFE"/>
    <w:rsid w:val="00C81624"/>
    <w:rsid w:val="00C86D14"/>
    <w:rsid w:val="00C86E47"/>
    <w:rsid w:val="00C878D8"/>
    <w:rsid w:val="00C94A77"/>
    <w:rsid w:val="00C96D3D"/>
    <w:rsid w:val="00CA46DE"/>
    <w:rsid w:val="00CB06A2"/>
    <w:rsid w:val="00CB1E13"/>
    <w:rsid w:val="00CB271F"/>
    <w:rsid w:val="00CB3F0B"/>
    <w:rsid w:val="00CC37F7"/>
    <w:rsid w:val="00CC72C0"/>
    <w:rsid w:val="00CD2F75"/>
    <w:rsid w:val="00CD486D"/>
    <w:rsid w:val="00CE01D2"/>
    <w:rsid w:val="00CE0C8D"/>
    <w:rsid w:val="00CE12CE"/>
    <w:rsid w:val="00CE2525"/>
    <w:rsid w:val="00CF4AD7"/>
    <w:rsid w:val="00D04548"/>
    <w:rsid w:val="00D0494C"/>
    <w:rsid w:val="00D069D9"/>
    <w:rsid w:val="00D13EA8"/>
    <w:rsid w:val="00D17C5B"/>
    <w:rsid w:val="00D20DBB"/>
    <w:rsid w:val="00D21741"/>
    <w:rsid w:val="00D24348"/>
    <w:rsid w:val="00D25733"/>
    <w:rsid w:val="00D306CC"/>
    <w:rsid w:val="00D349EA"/>
    <w:rsid w:val="00D379FD"/>
    <w:rsid w:val="00D409C2"/>
    <w:rsid w:val="00D41A4B"/>
    <w:rsid w:val="00D42FCC"/>
    <w:rsid w:val="00D46827"/>
    <w:rsid w:val="00D52BF6"/>
    <w:rsid w:val="00D55D16"/>
    <w:rsid w:val="00D61F4D"/>
    <w:rsid w:val="00D6202C"/>
    <w:rsid w:val="00D6315F"/>
    <w:rsid w:val="00D6363C"/>
    <w:rsid w:val="00D708AE"/>
    <w:rsid w:val="00D801B0"/>
    <w:rsid w:val="00D974DF"/>
    <w:rsid w:val="00DA0079"/>
    <w:rsid w:val="00DA15A8"/>
    <w:rsid w:val="00DA2DAC"/>
    <w:rsid w:val="00DA36A9"/>
    <w:rsid w:val="00DA41D4"/>
    <w:rsid w:val="00DB11F6"/>
    <w:rsid w:val="00DB2872"/>
    <w:rsid w:val="00DB3F1A"/>
    <w:rsid w:val="00DB3F1D"/>
    <w:rsid w:val="00DB69B2"/>
    <w:rsid w:val="00DC016A"/>
    <w:rsid w:val="00DC1C7C"/>
    <w:rsid w:val="00DC369C"/>
    <w:rsid w:val="00DD0C1E"/>
    <w:rsid w:val="00DD31AB"/>
    <w:rsid w:val="00DD6BF7"/>
    <w:rsid w:val="00DE14C7"/>
    <w:rsid w:val="00DE55B4"/>
    <w:rsid w:val="00DF430A"/>
    <w:rsid w:val="00E004FD"/>
    <w:rsid w:val="00E03BE0"/>
    <w:rsid w:val="00E04326"/>
    <w:rsid w:val="00E05847"/>
    <w:rsid w:val="00E149FD"/>
    <w:rsid w:val="00E169F0"/>
    <w:rsid w:val="00E22DBD"/>
    <w:rsid w:val="00E24C46"/>
    <w:rsid w:val="00E24D42"/>
    <w:rsid w:val="00E27443"/>
    <w:rsid w:val="00E30679"/>
    <w:rsid w:val="00E404FF"/>
    <w:rsid w:val="00E45965"/>
    <w:rsid w:val="00E533E6"/>
    <w:rsid w:val="00E57BD3"/>
    <w:rsid w:val="00E615C5"/>
    <w:rsid w:val="00E653C8"/>
    <w:rsid w:val="00E66E95"/>
    <w:rsid w:val="00E70918"/>
    <w:rsid w:val="00E84AD4"/>
    <w:rsid w:val="00E91361"/>
    <w:rsid w:val="00E9389F"/>
    <w:rsid w:val="00EA0F8E"/>
    <w:rsid w:val="00EA3C53"/>
    <w:rsid w:val="00EA42C5"/>
    <w:rsid w:val="00EA50D0"/>
    <w:rsid w:val="00EA6FF2"/>
    <w:rsid w:val="00EC05C1"/>
    <w:rsid w:val="00EC2BB1"/>
    <w:rsid w:val="00EC6E9C"/>
    <w:rsid w:val="00EC701D"/>
    <w:rsid w:val="00ED1843"/>
    <w:rsid w:val="00ED197A"/>
    <w:rsid w:val="00ED3716"/>
    <w:rsid w:val="00EE4321"/>
    <w:rsid w:val="00EF2530"/>
    <w:rsid w:val="00EF3E46"/>
    <w:rsid w:val="00EF4770"/>
    <w:rsid w:val="00F155E1"/>
    <w:rsid w:val="00F17491"/>
    <w:rsid w:val="00F22E48"/>
    <w:rsid w:val="00F2601B"/>
    <w:rsid w:val="00F2696B"/>
    <w:rsid w:val="00F334BE"/>
    <w:rsid w:val="00F37582"/>
    <w:rsid w:val="00F37AE3"/>
    <w:rsid w:val="00F37D62"/>
    <w:rsid w:val="00F405F4"/>
    <w:rsid w:val="00F40B52"/>
    <w:rsid w:val="00F4713A"/>
    <w:rsid w:val="00F47E0D"/>
    <w:rsid w:val="00F5323E"/>
    <w:rsid w:val="00F736AB"/>
    <w:rsid w:val="00F73C86"/>
    <w:rsid w:val="00F77FCC"/>
    <w:rsid w:val="00F847D9"/>
    <w:rsid w:val="00F872F0"/>
    <w:rsid w:val="00F90013"/>
    <w:rsid w:val="00F9108F"/>
    <w:rsid w:val="00F95E06"/>
    <w:rsid w:val="00FA0A70"/>
    <w:rsid w:val="00FA1E1F"/>
    <w:rsid w:val="00FA2CD0"/>
    <w:rsid w:val="00FA37EA"/>
    <w:rsid w:val="00FA3D36"/>
    <w:rsid w:val="00FB2CE6"/>
    <w:rsid w:val="00FB4884"/>
    <w:rsid w:val="00FC18B5"/>
    <w:rsid w:val="00FC2C90"/>
    <w:rsid w:val="00FC6F19"/>
    <w:rsid w:val="00FC7F5D"/>
    <w:rsid w:val="00FD12A0"/>
    <w:rsid w:val="00FE0C7A"/>
    <w:rsid w:val="00FE3977"/>
    <w:rsid w:val="00FE409A"/>
    <w:rsid w:val="00FE6681"/>
    <w:rsid w:val="00FF0501"/>
    <w:rsid w:val="00FF1244"/>
    <w:rsid w:val="00FF1330"/>
    <w:rsid w:val="00FF63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74">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0B3"/>
    <w:pPr>
      <w:spacing w:after="240" w:line="276" w:lineRule="auto"/>
      <w:ind w:left="709"/>
      <w:jc w:val="both"/>
    </w:pPr>
    <w:rPr>
      <w:sz w:val="22"/>
      <w:lang w:val="en-GB" w:bidi="en-US"/>
    </w:rPr>
  </w:style>
  <w:style w:type="paragraph" w:styleId="Heading1">
    <w:name w:val="heading 1"/>
    <w:basedOn w:val="Heading2"/>
    <w:next w:val="NoSpacing"/>
    <w:link w:val="Heading1Char"/>
    <w:uiPriority w:val="9"/>
    <w:qFormat/>
    <w:rsid w:val="003B2D54"/>
    <w:pPr>
      <w:numPr>
        <w:ilvl w:val="0"/>
      </w:numPr>
      <w:shd w:val="clear" w:color="auto" w:fill="17365D"/>
      <w:spacing w:before="480"/>
      <w:ind w:left="709" w:hanging="709"/>
      <w:outlineLvl w:val="0"/>
    </w:pPr>
    <w:rPr>
      <w:noProof/>
      <w:color w:val="FFFFFF"/>
      <w:sz w:val="28"/>
      <w:lang w:bidi="ar-SA"/>
    </w:rPr>
  </w:style>
  <w:style w:type="paragraph" w:styleId="Heading2">
    <w:name w:val="heading 2"/>
    <w:basedOn w:val="Normal"/>
    <w:next w:val="Normal"/>
    <w:link w:val="Heading2Char"/>
    <w:uiPriority w:val="9"/>
    <w:unhideWhenUsed/>
    <w:qFormat/>
    <w:rsid w:val="00F5323E"/>
    <w:pPr>
      <w:keepNext/>
      <w:numPr>
        <w:ilvl w:val="1"/>
        <w:numId w:val="1"/>
      </w:numPr>
      <w:pBdr>
        <w:top w:val="single" w:sz="8" w:space="1" w:color="548DD4"/>
        <w:bottom w:val="single" w:sz="8" w:space="1" w:color="548DD4"/>
      </w:pBdr>
      <w:spacing w:before="360"/>
      <w:ind w:left="709" w:hanging="709"/>
      <w:outlineLvl w:val="1"/>
    </w:pPr>
    <w:rPr>
      <w:b/>
      <w:sz w:val="24"/>
      <w:szCs w:val="22"/>
      <w:lang w:val="en-US"/>
    </w:rPr>
  </w:style>
  <w:style w:type="paragraph" w:styleId="Heading3">
    <w:name w:val="heading 3"/>
    <w:basedOn w:val="ListParagraph"/>
    <w:next w:val="Normal"/>
    <w:link w:val="Heading3Char"/>
    <w:uiPriority w:val="9"/>
    <w:unhideWhenUsed/>
    <w:qFormat/>
    <w:rsid w:val="002A7C9A"/>
    <w:pPr>
      <w:numPr>
        <w:ilvl w:val="2"/>
        <w:numId w:val="1"/>
      </w:numPr>
      <w:spacing w:after="120"/>
      <w:ind w:left="686" w:hanging="686"/>
      <w:outlineLvl w:val="2"/>
    </w:pPr>
    <w:rPr>
      <w:b/>
    </w:rPr>
  </w:style>
  <w:style w:type="paragraph" w:styleId="Heading4">
    <w:name w:val="heading 4"/>
    <w:basedOn w:val="ListParagraph"/>
    <w:next w:val="Normal"/>
    <w:link w:val="Heading4Char"/>
    <w:uiPriority w:val="9"/>
    <w:unhideWhenUsed/>
    <w:qFormat/>
    <w:rsid w:val="00493BAE"/>
    <w:pPr>
      <w:numPr>
        <w:numId w:val="0"/>
      </w:numPr>
      <w:spacing w:after="0"/>
      <w:ind w:left="851"/>
      <w:outlineLvl w:val="3"/>
    </w:pPr>
    <w:rPr>
      <w:b/>
      <w:lang w:val="en-GB"/>
    </w:rPr>
  </w:style>
  <w:style w:type="paragraph" w:styleId="Heading5">
    <w:name w:val="heading 5"/>
    <w:basedOn w:val="ListParagraph"/>
    <w:next w:val="Normal"/>
    <w:link w:val="Heading5Char"/>
    <w:uiPriority w:val="9"/>
    <w:unhideWhenUsed/>
    <w:qFormat/>
    <w:rsid w:val="00CB1E13"/>
    <w:pPr>
      <w:numPr>
        <w:ilvl w:val="4"/>
        <w:numId w:val="1"/>
      </w:numPr>
      <w:spacing w:after="0"/>
      <w:outlineLvl w:val="4"/>
    </w:pPr>
  </w:style>
  <w:style w:type="paragraph" w:styleId="Heading6">
    <w:name w:val="heading 6"/>
    <w:basedOn w:val="Heading1"/>
    <w:next w:val="Normal"/>
    <w:link w:val="Heading6Char"/>
    <w:uiPriority w:val="9"/>
    <w:unhideWhenUsed/>
    <w:qFormat/>
    <w:rsid w:val="00FF0501"/>
    <w:pPr>
      <w:numPr>
        <w:ilvl w:val="5"/>
      </w:numPr>
      <w:outlineLvl w:val="5"/>
    </w:pPr>
    <w:rPr>
      <w:sz w:val="24"/>
      <w:szCs w:val="24"/>
    </w:rPr>
  </w:style>
  <w:style w:type="paragraph" w:styleId="Heading7">
    <w:name w:val="heading 7"/>
    <w:basedOn w:val="Normal"/>
    <w:next w:val="Normal"/>
    <w:link w:val="Heading7Char"/>
    <w:uiPriority w:val="9"/>
    <w:semiHidden/>
    <w:unhideWhenUsed/>
    <w:qFormat/>
    <w:rsid w:val="00FE409A"/>
    <w:pPr>
      <w:numPr>
        <w:ilvl w:val="6"/>
        <w:numId w:val="1"/>
      </w:numPr>
      <w:spacing w:after="0"/>
      <w:jc w:val="left"/>
      <w:outlineLvl w:val="6"/>
    </w:pPr>
    <w:rPr>
      <w:b/>
      <w:smallCaps/>
      <w:color w:val="C0504D"/>
      <w:spacing w:val="10"/>
    </w:rPr>
  </w:style>
  <w:style w:type="paragraph" w:styleId="Heading8">
    <w:name w:val="heading 8"/>
    <w:basedOn w:val="Normal"/>
    <w:next w:val="Normal"/>
    <w:link w:val="Heading8Char"/>
    <w:uiPriority w:val="9"/>
    <w:semiHidden/>
    <w:unhideWhenUsed/>
    <w:qFormat/>
    <w:rsid w:val="00FE409A"/>
    <w:pPr>
      <w:numPr>
        <w:ilvl w:val="7"/>
        <w:numId w:val="1"/>
      </w:numPr>
      <w:spacing w:after="0"/>
      <w:jc w:val="left"/>
      <w:outlineLvl w:val="7"/>
    </w:pPr>
    <w:rPr>
      <w:b/>
      <w:i/>
      <w:smallCaps/>
      <w:color w:val="943634"/>
    </w:rPr>
  </w:style>
  <w:style w:type="paragraph" w:styleId="Heading9">
    <w:name w:val="heading 9"/>
    <w:basedOn w:val="Normal"/>
    <w:next w:val="Normal"/>
    <w:link w:val="Heading9Char"/>
    <w:uiPriority w:val="9"/>
    <w:semiHidden/>
    <w:unhideWhenUsed/>
    <w:qFormat/>
    <w:rsid w:val="00FE409A"/>
    <w:pPr>
      <w:numPr>
        <w:ilvl w:val="8"/>
        <w:numId w:val="1"/>
      </w:numPr>
      <w:spacing w:after="0"/>
      <w:jc w:val="left"/>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4F92"/>
    <w:pPr>
      <w:numPr>
        <w:numId w:val="2"/>
      </w:numPr>
      <w:ind w:left="1418"/>
      <w:contextualSpacing/>
    </w:pPr>
    <w:rPr>
      <w:lang w:val="en-AU"/>
    </w:rPr>
  </w:style>
  <w:style w:type="paragraph" w:styleId="Header">
    <w:name w:val="header"/>
    <w:basedOn w:val="Normal"/>
    <w:link w:val="HeaderChar"/>
    <w:uiPriority w:val="99"/>
    <w:unhideWhenUsed/>
    <w:rsid w:val="00632FDD"/>
    <w:pPr>
      <w:tabs>
        <w:tab w:val="center" w:pos="4513"/>
        <w:tab w:val="right" w:pos="9026"/>
      </w:tabs>
      <w:spacing w:after="0" w:line="240" w:lineRule="auto"/>
      <w:jc w:val="right"/>
    </w:pPr>
  </w:style>
  <w:style w:type="character" w:customStyle="1" w:styleId="HeaderChar">
    <w:name w:val="Header Char"/>
    <w:basedOn w:val="DefaultParagraphFont"/>
    <w:link w:val="Header"/>
    <w:uiPriority w:val="99"/>
    <w:rsid w:val="00632FDD"/>
    <w:rPr>
      <w:sz w:val="22"/>
      <w:szCs w:val="22"/>
    </w:rPr>
  </w:style>
  <w:style w:type="paragraph" w:styleId="Footer">
    <w:name w:val="footer"/>
    <w:basedOn w:val="Normal"/>
    <w:link w:val="FooterChar"/>
    <w:uiPriority w:val="99"/>
    <w:unhideWhenUsed/>
    <w:rsid w:val="009E63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6356"/>
  </w:style>
  <w:style w:type="character" w:customStyle="1" w:styleId="Heading1Char">
    <w:name w:val="Heading 1 Char"/>
    <w:basedOn w:val="DefaultParagraphFont"/>
    <w:link w:val="Heading1"/>
    <w:uiPriority w:val="9"/>
    <w:rsid w:val="003B2D54"/>
    <w:rPr>
      <w:b/>
      <w:noProof/>
      <w:color w:val="FFFFFF"/>
      <w:sz w:val="28"/>
      <w:szCs w:val="22"/>
      <w:shd w:val="clear" w:color="auto" w:fill="17365D"/>
    </w:rPr>
  </w:style>
  <w:style w:type="character" w:customStyle="1" w:styleId="Heading2Char">
    <w:name w:val="Heading 2 Char"/>
    <w:basedOn w:val="DefaultParagraphFont"/>
    <w:link w:val="Heading2"/>
    <w:uiPriority w:val="9"/>
    <w:rsid w:val="00F5323E"/>
    <w:rPr>
      <w:b/>
      <w:sz w:val="24"/>
      <w:szCs w:val="22"/>
      <w:lang w:bidi="en-US"/>
    </w:rPr>
  </w:style>
  <w:style w:type="character" w:customStyle="1" w:styleId="Heading3Char">
    <w:name w:val="Heading 3 Char"/>
    <w:basedOn w:val="DefaultParagraphFont"/>
    <w:link w:val="Heading3"/>
    <w:uiPriority w:val="9"/>
    <w:rsid w:val="002A7C9A"/>
    <w:rPr>
      <w:b/>
      <w:sz w:val="22"/>
      <w:lang w:val="en-AU" w:bidi="en-US"/>
    </w:rPr>
  </w:style>
  <w:style w:type="character" w:customStyle="1" w:styleId="Heading4Char">
    <w:name w:val="Heading 4 Char"/>
    <w:basedOn w:val="DefaultParagraphFont"/>
    <w:link w:val="Heading4"/>
    <w:uiPriority w:val="9"/>
    <w:rsid w:val="00493BAE"/>
    <w:rPr>
      <w:b/>
      <w:sz w:val="22"/>
      <w:szCs w:val="22"/>
      <w:lang w:val="en-GB"/>
    </w:rPr>
  </w:style>
  <w:style w:type="character" w:customStyle="1" w:styleId="Heading5Char">
    <w:name w:val="Heading 5 Char"/>
    <w:basedOn w:val="DefaultParagraphFont"/>
    <w:link w:val="Heading5"/>
    <w:uiPriority w:val="9"/>
    <w:rsid w:val="00CB1E13"/>
    <w:rPr>
      <w:lang w:val="en-AU" w:bidi="en-US"/>
    </w:rPr>
  </w:style>
  <w:style w:type="character" w:customStyle="1" w:styleId="Heading6Char">
    <w:name w:val="Heading 6 Char"/>
    <w:basedOn w:val="DefaultParagraphFont"/>
    <w:link w:val="Heading6"/>
    <w:uiPriority w:val="9"/>
    <w:rsid w:val="00FF0501"/>
    <w:rPr>
      <w:b/>
      <w:color w:val="FFFFFF"/>
      <w:sz w:val="24"/>
      <w:szCs w:val="24"/>
      <w:shd w:val="clear" w:color="auto" w:fill="548DD4"/>
      <w:lang w:bidi="en-US"/>
    </w:rPr>
  </w:style>
  <w:style w:type="character" w:customStyle="1" w:styleId="Heading7Char">
    <w:name w:val="Heading 7 Char"/>
    <w:basedOn w:val="DefaultParagraphFont"/>
    <w:link w:val="Heading7"/>
    <w:uiPriority w:val="9"/>
    <w:semiHidden/>
    <w:rsid w:val="00FE409A"/>
    <w:rPr>
      <w:b/>
      <w:smallCaps/>
      <w:color w:val="C0504D"/>
      <w:spacing w:val="10"/>
      <w:lang w:val="en-GB" w:bidi="en-US"/>
    </w:rPr>
  </w:style>
  <w:style w:type="character" w:customStyle="1" w:styleId="Heading8Char">
    <w:name w:val="Heading 8 Char"/>
    <w:basedOn w:val="DefaultParagraphFont"/>
    <w:link w:val="Heading8"/>
    <w:uiPriority w:val="9"/>
    <w:semiHidden/>
    <w:rsid w:val="00FE409A"/>
    <w:rPr>
      <w:b/>
      <w:i/>
      <w:smallCaps/>
      <w:color w:val="943634"/>
      <w:lang w:val="en-GB" w:bidi="en-US"/>
    </w:rPr>
  </w:style>
  <w:style w:type="character" w:customStyle="1" w:styleId="Heading9Char">
    <w:name w:val="Heading 9 Char"/>
    <w:basedOn w:val="DefaultParagraphFont"/>
    <w:link w:val="Heading9"/>
    <w:uiPriority w:val="9"/>
    <w:semiHidden/>
    <w:rsid w:val="00FE409A"/>
    <w:rPr>
      <w:b/>
      <w:i/>
      <w:smallCaps/>
      <w:color w:val="622423"/>
      <w:lang w:val="en-GB" w:bidi="en-US"/>
    </w:rPr>
  </w:style>
  <w:style w:type="paragraph" w:styleId="Caption">
    <w:name w:val="caption"/>
    <w:basedOn w:val="Normal"/>
    <w:next w:val="Normal"/>
    <w:uiPriority w:val="35"/>
    <w:unhideWhenUsed/>
    <w:qFormat/>
    <w:rsid w:val="004E739C"/>
    <w:pPr>
      <w:keepNext/>
      <w:spacing w:before="240"/>
      <w:ind w:left="1418"/>
    </w:pPr>
    <w:rPr>
      <w:b/>
      <w:bCs/>
      <w:color w:val="595959"/>
      <w:sz w:val="18"/>
      <w:szCs w:val="18"/>
      <w:lang w:val="en-US"/>
    </w:rPr>
  </w:style>
  <w:style w:type="paragraph" w:styleId="Title">
    <w:name w:val="Title"/>
    <w:basedOn w:val="Normal"/>
    <w:next w:val="Normal"/>
    <w:link w:val="TitleChar"/>
    <w:uiPriority w:val="10"/>
    <w:qFormat/>
    <w:rsid w:val="006571B3"/>
    <w:pPr>
      <w:pBdr>
        <w:top w:val="single" w:sz="8" w:space="1" w:color="548DD4"/>
      </w:pBdr>
      <w:spacing w:line="240" w:lineRule="auto"/>
      <w:ind w:left="0"/>
      <w:jc w:val="left"/>
    </w:pPr>
    <w:rPr>
      <w:rFonts w:ascii="Arial Black" w:hAnsi="Arial Black"/>
      <w:smallCaps/>
      <w:sz w:val="36"/>
      <w:szCs w:val="36"/>
    </w:rPr>
  </w:style>
  <w:style w:type="character" w:customStyle="1" w:styleId="TitleChar">
    <w:name w:val="Title Char"/>
    <w:basedOn w:val="DefaultParagraphFont"/>
    <w:link w:val="Title"/>
    <w:uiPriority w:val="10"/>
    <w:rsid w:val="006571B3"/>
    <w:rPr>
      <w:rFonts w:ascii="Arial Black" w:hAnsi="Arial Black"/>
      <w:smallCaps/>
      <w:sz w:val="36"/>
      <w:szCs w:val="36"/>
    </w:rPr>
  </w:style>
  <w:style w:type="paragraph" w:styleId="Subtitle">
    <w:name w:val="Subtitle"/>
    <w:basedOn w:val="Normal"/>
    <w:next w:val="Normal"/>
    <w:link w:val="SubtitleChar"/>
    <w:uiPriority w:val="11"/>
    <w:qFormat/>
    <w:rsid w:val="00D349EA"/>
    <w:pPr>
      <w:spacing w:after="720" w:line="240" w:lineRule="auto"/>
      <w:jc w:val="left"/>
    </w:pPr>
    <w:rPr>
      <w:rFonts w:ascii="Arial Black" w:hAnsi="Arial Black"/>
      <w:color w:val="808080"/>
    </w:rPr>
  </w:style>
  <w:style w:type="character" w:customStyle="1" w:styleId="SubtitleChar">
    <w:name w:val="Subtitle Char"/>
    <w:basedOn w:val="DefaultParagraphFont"/>
    <w:link w:val="Subtitle"/>
    <w:uiPriority w:val="11"/>
    <w:rsid w:val="00D349EA"/>
    <w:rPr>
      <w:rFonts w:ascii="Arial Black" w:eastAsia="Times New Roman" w:hAnsi="Arial Black" w:cs="Times New Roman"/>
      <w:color w:val="808080"/>
      <w:sz w:val="22"/>
      <w:szCs w:val="22"/>
      <w:lang w:val="en-GB"/>
    </w:rPr>
  </w:style>
  <w:style w:type="character" w:styleId="Strong">
    <w:name w:val="Strong"/>
    <w:uiPriority w:val="22"/>
    <w:qFormat/>
    <w:rsid w:val="00FE409A"/>
    <w:rPr>
      <w:b/>
      <w:color w:val="C0504D"/>
    </w:rPr>
  </w:style>
  <w:style w:type="character" w:styleId="Emphasis">
    <w:name w:val="Emphasis"/>
    <w:uiPriority w:val="20"/>
    <w:qFormat/>
    <w:rsid w:val="00FE409A"/>
    <w:rPr>
      <w:b/>
      <w:i/>
      <w:spacing w:val="10"/>
    </w:rPr>
  </w:style>
  <w:style w:type="paragraph" w:styleId="NoSpacing">
    <w:name w:val="No Spacing"/>
    <w:basedOn w:val="Normal"/>
    <w:link w:val="NoSpacingChar"/>
    <w:uiPriority w:val="1"/>
    <w:qFormat/>
    <w:rsid w:val="00196255"/>
    <w:pPr>
      <w:spacing w:after="0" w:line="240" w:lineRule="auto"/>
    </w:pPr>
    <w:rPr>
      <w:sz w:val="4"/>
    </w:rPr>
  </w:style>
  <w:style w:type="character" w:customStyle="1" w:styleId="NoSpacingChar">
    <w:name w:val="No Spacing Char"/>
    <w:basedOn w:val="DefaultParagraphFont"/>
    <w:link w:val="NoSpacing"/>
    <w:uiPriority w:val="1"/>
    <w:rsid w:val="00196255"/>
    <w:rPr>
      <w:sz w:val="4"/>
      <w:szCs w:val="22"/>
    </w:rPr>
  </w:style>
  <w:style w:type="paragraph" w:styleId="Quote">
    <w:name w:val="Quote"/>
    <w:basedOn w:val="Normal"/>
    <w:next w:val="Normal"/>
    <w:link w:val="QuoteChar"/>
    <w:uiPriority w:val="29"/>
    <w:qFormat/>
    <w:rsid w:val="00FE409A"/>
    <w:rPr>
      <w:i/>
    </w:rPr>
  </w:style>
  <w:style w:type="character" w:customStyle="1" w:styleId="QuoteChar">
    <w:name w:val="Quote Char"/>
    <w:basedOn w:val="DefaultParagraphFont"/>
    <w:link w:val="Quote"/>
    <w:uiPriority w:val="29"/>
    <w:rsid w:val="00FE409A"/>
    <w:rPr>
      <w:i/>
    </w:rPr>
  </w:style>
  <w:style w:type="paragraph" w:styleId="IntenseQuote">
    <w:name w:val="Intense Quote"/>
    <w:basedOn w:val="Normal"/>
    <w:next w:val="Normal"/>
    <w:link w:val="IntenseQuoteChar"/>
    <w:uiPriority w:val="30"/>
    <w:qFormat/>
    <w:rsid w:val="00FE409A"/>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basedOn w:val="DefaultParagraphFont"/>
    <w:link w:val="IntenseQuote"/>
    <w:uiPriority w:val="30"/>
    <w:rsid w:val="00FE409A"/>
    <w:rPr>
      <w:b/>
      <w:i/>
      <w:color w:val="FFFFFF"/>
      <w:shd w:val="clear" w:color="auto" w:fill="C0504D"/>
    </w:rPr>
  </w:style>
  <w:style w:type="character" w:styleId="SubtleEmphasis">
    <w:name w:val="Subtle Emphasis"/>
    <w:uiPriority w:val="19"/>
    <w:qFormat/>
    <w:rsid w:val="00FE409A"/>
    <w:rPr>
      <w:i/>
    </w:rPr>
  </w:style>
  <w:style w:type="character" w:styleId="IntenseEmphasis">
    <w:name w:val="Intense Emphasis"/>
    <w:uiPriority w:val="21"/>
    <w:qFormat/>
    <w:rsid w:val="00FE409A"/>
    <w:rPr>
      <w:b/>
      <w:i/>
      <w:color w:val="C0504D"/>
      <w:spacing w:val="10"/>
    </w:rPr>
  </w:style>
  <w:style w:type="character" w:styleId="SubtleReference">
    <w:name w:val="Subtle Reference"/>
    <w:uiPriority w:val="31"/>
    <w:qFormat/>
    <w:rsid w:val="00FE409A"/>
    <w:rPr>
      <w:b/>
    </w:rPr>
  </w:style>
  <w:style w:type="character" w:styleId="IntenseReference">
    <w:name w:val="Intense Reference"/>
    <w:uiPriority w:val="32"/>
    <w:qFormat/>
    <w:rsid w:val="00FE409A"/>
    <w:rPr>
      <w:b/>
      <w:bCs/>
      <w:smallCaps/>
      <w:spacing w:val="5"/>
      <w:sz w:val="22"/>
      <w:szCs w:val="22"/>
      <w:u w:val="single"/>
    </w:rPr>
  </w:style>
  <w:style w:type="character" w:styleId="BookTitle">
    <w:name w:val="Book Title"/>
    <w:uiPriority w:val="33"/>
    <w:qFormat/>
    <w:rsid w:val="00FE409A"/>
    <w:rPr>
      <w:rFonts w:ascii="Cambria" w:eastAsia="Times New Roman" w:hAnsi="Cambria" w:cs="Times New Roman"/>
      <w:i/>
      <w:iCs/>
      <w:sz w:val="20"/>
      <w:szCs w:val="20"/>
    </w:rPr>
  </w:style>
  <w:style w:type="paragraph" w:styleId="TOCHeading">
    <w:name w:val="TOC Heading"/>
    <w:basedOn w:val="Heading1"/>
    <w:next w:val="Normal"/>
    <w:uiPriority w:val="39"/>
    <w:semiHidden/>
    <w:unhideWhenUsed/>
    <w:qFormat/>
    <w:rsid w:val="00FE409A"/>
    <w:pPr>
      <w:outlineLvl w:val="9"/>
    </w:pPr>
  </w:style>
  <w:style w:type="paragraph" w:styleId="BalloonText">
    <w:name w:val="Balloon Text"/>
    <w:basedOn w:val="Normal"/>
    <w:link w:val="BalloonTextChar"/>
    <w:uiPriority w:val="99"/>
    <w:semiHidden/>
    <w:unhideWhenUsed/>
    <w:rsid w:val="00B746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6A6"/>
    <w:rPr>
      <w:rFonts w:ascii="Tahoma" w:hAnsi="Tahoma" w:cs="Tahoma"/>
      <w:sz w:val="16"/>
      <w:szCs w:val="16"/>
    </w:rPr>
  </w:style>
  <w:style w:type="paragraph" w:styleId="TOC1">
    <w:name w:val="toc 1"/>
    <w:basedOn w:val="Normal"/>
    <w:next w:val="Normal"/>
    <w:autoRedefine/>
    <w:uiPriority w:val="39"/>
    <w:unhideWhenUsed/>
    <w:qFormat/>
    <w:rsid w:val="00893A46"/>
    <w:pPr>
      <w:tabs>
        <w:tab w:val="left" w:pos="709"/>
        <w:tab w:val="right" w:leader="dot" w:pos="10348"/>
      </w:tabs>
      <w:spacing w:after="40" w:line="240" w:lineRule="auto"/>
      <w:ind w:left="0"/>
      <w:jc w:val="left"/>
    </w:pPr>
    <w:rPr>
      <w:noProof/>
    </w:rPr>
  </w:style>
  <w:style w:type="paragraph" w:styleId="TOC2">
    <w:name w:val="toc 2"/>
    <w:basedOn w:val="Normal"/>
    <w:next w:val="Normal"/>
    <w:autoRedefine/>
    <w:uiPriority w:val="39"/>
    <w:unhideWhenUsed/>
    <w:qFormat/>
    <w:rsid w:val="00493BAE"/>
    <w:pPr>
      <w:tabs>
        <w:tab w:val="left" w:pos="880"/>
        <w:tab w:val="right" w:leader="dot" w:pos="9736"/>
      </w:tabs>
      <w:spacing w:after="0"/>
      <w:ind w:left="220"/>
    </w:pPr>
  </w:style>
  <w:style w:type="paragraph" w:styleId="TOC3">
    <w:name w:val="toc 3"/>
    <w:basedOn w:val="Normal"/>
    <w:next w:val="Normal"/>
    <w:autoRedefine/>
    <w:uiPriority w:val="39"/>
    <w:unhideWhenUsed/>
    <w:qFormat/>
    <w:rsid w:val="00493BAE"/>
    <w:pPr>
      <w:spacing w:after="100"/>
      <w:ind w:left="440"/>
    </w:pPr>
  </w:style>
  <w:style w:type="character" w:styleId="Hyperlink">
    <w:name w:val="Hyperlink"/>
    <w:basedOn w:val="DefaultParagraphFont"/>
    <w:uiPriority w:val="99"/>
    <w:unhideWhenUsed/>
    <w:rsid w:val="00493BAE"/>
    <w:rPr>
      <w:color w:val="0000FF"/>
      <w:u w:val="single"/>
    </w:rPr>
  </w:style>
  <w:style w:type="paragraph" w:styleId="FootnoteText">
    <w:name w:val="footnote text"/>
    <w:basedOn w:val="Normal"/>
    <w:link w:val="FootnoteTextChar"/>
    <w:uiPriority w:val="99"/>
    <w:unhideWhenUsed/>
    <w:rsid w:val="006A5691"/>
    <w:pPr>
      <w:spacing w:after="120" w:line="240" w:lineRule="auto"/>
    </w:pPr>
    <w:rPr>
      <w:sz w:val="16"/>
    </w:rPr>
  </w:style>
  <w:style w:type="character" w:customStyle="1" w:styleId="FootnoteTextChar">
    <w:name w:val="Footnote Text Char"/>
    <w:basedOn w:val="DefaultParagraphFont"/>
    <w:link w:val="FootnoteText"/>
    <w:uiPriority w:val="99"/>
    <w:rsid w:val="006A5691"/>
    <w:rPr>
      <w:sz w:val="16"/>
      <w:lang w:val="en-GB" w:bidi="en-US"/>
    </w:rPr>
  </w:style>
  <w:style w:type="character" w:styleId="FootnoteReference">
    <w:name w:val="footnote reference"/>
    <w:basedOn w:val="DefaultParagraphFont"/>
    <w:uiPriority w:val="99"/>
    <w:unhideWhenUsed/>
    <w:rsid w:val="00472014"/>
    <w:rPr>
      <w:vertAlign w:val="superscript"/>
    </w:rPr>
  </w:style>
  <w:style w:type="table" w:styleId="TableGrid">
    <w:name w:val="Table Grid"/>
    <w:basedOn w:val="TableNormal"/>
    <w:uiPriority w:val="59"/>
    <w:rsid w:val="00252B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8248F"/>
    <w:rPr>
      <w:color w:val="800080"/>
      <w:u w:val="single"/>
    </w:rPr>
  </w:style>
  <w:style w:type="paragraph" w:styleId="TableofFigures">
    <w:name w:val="table of figures"/>
    <w:basedOn w:val="Normal"/>
    <w:next w:val="Normal"/>
    <w:uiPriority w:val="99"/>
    <w:unhideWhenUsed/>
    <w:rsid w:val="0013751C"/>
    <w:pPr>
      <w:spacing w:after="0"/>
      <w:ind w:left="0"/>
    </w:pPr>
  </w:style>
  <w:style w:type="paragraph" w:customStyle="1" w:styleId="Heading1roman">
    <w:name w:val="Heading 1 roman"/>
    <w:basedOn w:val="Heading1"/>
    <w:qFormat/>
    <w:rsid w:val="00E22DBD"/>
    <w:pPr>
      <w:numPr>
        <w:numId w:val="37"/>
      </w:numPr>
      <w:pBdr>
        <w:top w:val="none" w:sz="0" w:space="0" w:color="auto"/>
        <w:bottom w:val="none" w:sz="0" w:space="0" w:color="auto"/>
      </w:pBdr>
      <w:shd w:val="clear" w:color="auto" w:fill="808080"/>
      <w:ind w:hanging="720"/>
    </w:pPr>
  </w:style>
  <w:style w:type="paragraph" w:customStyle="1" w:styleId="Chart">
    <w:name w:val="Chart"/>
    <w:basedOn w:val="Normal"/>
    <w:qFormat/>
    <w:rsid w:val="004E739C"/>
    <w:pPr>
      <w:spacing w:after="360"/>
      <w:ind w:left="1418"/>
      <w:jc w:val="left"/>
    </w:pPr>
    <w:rPr>
      <w:noProof/>
      <w:lang w:val="en-US" w:bidi="ar-SA"/>
    </w:rPr>
  </w:style>
  <w:style w:type="paragraph" w:customStyle="1" w:styleId="Default">
    <w:name w:val="Default"/>
    <w:rsid w:val="000D1825"/>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groups.google.com/group/SUM0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F742CB-32B3-4B6A-B99D-F2A60211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10407</CharactersWithSpaces>
  <SharedDoc>false</SharedDoc>
  <HLinks>
    <vt:vector size="234" baseType="variant">
      <vt:variant>
        <vt:i4>524339</vt:i4>
      </vt:variant>
      <vt:variant>
        <vt:i4>300</vt:i4>
      </vt:variant>
      <vt:variant>
        <vt:i4>0</vt:i4>
      </vt:variant>
      <vt:variant>
        <vt:i4>5</vt:i4>
      </vt:variant>
      <vt:variant>
        <vt:lpwstr>mailto:ppanosetti@gmail.com</vt:lpwstr>
      </vt:variant>
      <vt:variant>
        <vt:lpwstr/>
      </vt:variant>
      <vt:variant>
        <vt:i4>5832808</vt:i4>
      </vt:variant>
      <vt:variant>
        <vt:i4>297</vt:i4>
      </vt:variant>
      <vt:variant>
        <vt:i4>0</vt:i4>
      </vt:variant>
      <vt:variant>
        <vt:i4>5</vt:i4>
      </vt:variant>
      <vt:variant>
        <vt:lpwstr>mailto:sc.wj.coord@gmail.com</vt:lpwstr>
      </vt:variant>
      <vt:variant>
        <vt:lpwstr/>
      </vt:variant>
      <vt:variant>
        <vt:i4>1638449</vt:i4>
      </vt:variant>
      <vt:variant>
        <vt:i4>218</vt:i4>
      </vt:variant>
      <vt:variant>
        <vt:i4>0</vt:i4>
      </vt:variant>
      <vt:variant>
        <vt:i4>5</vt:i4>
      </vt:variant>
      <vt:variant>
        <vt:lpwstr/>
      </vt:variant>
      <vt:variant>
        <vt:lpwstr>_Toc257068238</vt:lpwstr>
      </vt:variant>
      <vt:variant>
        <vt:i4>1638449</vt:i4>
      </vt:variant>
      <vt:variant>
        <vt:i4>212</vt:i4>
      </vt:variant>
      <vt:variant>
        <vt:i4>0</vt:i4>
      </vt:variant>
      <vt:variant>
        <vt:i4>5</vt:i4>
      </vt:variant>
      <vt:variant>
        <vt:lpwstr/>
      </vt:variant>
      <vt:variant>
        <vt:lpwstr>_Toc257068237</vt:lpwstr>
      </vt:variant>
      <vt:variant>
        <vt:i4>1638449</vt:i4>
      </vt:variant>
      <vt:variant>
        <vt:i4>206</vt:i4>
      </vt:variant>
      <vt:variant>
        <vt:i4>0</vt:i4>
      </vt:variant>
      <vt:variant>
        <vt:i4>5</vt:i4>
      </vt:variant>
      <vt:variant>
        <vt:lpwstr/>
      </vt:variant>
      <vt:variant>
        <vt:lpwstr>_Toc257068236</vt:lpwstr>
      </vt:variant>
      <vt:variant>
        <vt:i4>1638449</vt:i4>
      </vt:variant>
      <vt:variant>
        <vt:i4>200</vt:i4>
      </vt:variant>
      <vt:variant>
        <vt:i4>0</vt:i4>
      </vt:variant>
      <vt:variant>
        <vt:i4>5</vt:i4>
      </vt:variant>
      <vt:variant>
        <vt:lpwstr/>
      </vt:variant>
      <vt:variant>
        <vt:lpwstr>_Toc257068235</vt:lpwstr>
      </vt:variant>
      <vt:variant>
        <vt:i4>1638449</vt:i4>
      </vt:variant>
      <vt:variant>
        <vt:i4>194</vt:i4>
      </vt:variant>
      <vt:variant>
        <vt:i4>0</vt:i4>
      </vt:variant>
      <vt:variant>
        <vt:i4>5</vt:i4>
      </vt:variant>
      <vt:variant>
        <vt:lpwstr/>
      </vt:variant>
      <vt:variant>
        <vt:lpwstr>_Toc257068234</vt:lpwstr>
      </vt:variant>
      <vt:variant>
        <vt:i4>1638449</vt:i4>
      </vt:variant>
      <vt:variant>
        <vt:i4>188</vt:i4>
      </vt:variant>
      <vt:variant>
        <vt:i4>0</vt:i4>
      </vt:variant>
      <vt:variant>
        <vt:i4>5</vt:i4>
      </vt:variant>
      <vt:variant>
        <vt:lpwstr/>
      </vt:variant>
      <vt:variant>
        <vt:lpwstr>_Toc257068233</vt:lpwstr>
      </vt:variant>
      <vt:variant>
        <vt:i4>1638449</vt:i4>
      </vt:variant>
      <vt:variant>
        <vt:i4>182</vt:i4>
      </vt:variant>
      <vt:variant>
        <vt:i4>0</vt:i4>
      </vt:variant>
      <vt:variant>
        <vt:i4>5</vt:i4>
      </vt:variant>
      <vt:variant>
        <vt:lpwstr/>
      </vt:variant>
      <vt:variant>
        <vt:lpwstr>_Toc257068232</vt:lpwstr>
      </vt:variant>
      <vt:variant>
        <vt:i4>1638449</vt:i4>
      </vt:variant>
      <vt:variant>
        <vt:i4>176</vt:i4>
      </vt:variant>
      <vt:variant>
        <vt:i4>0</vt:i4>
      </vt:variant>
      <vt:variant>
        <vt:i4>5</vt:i4>
      </vt:variant>
      <vt:variant>
        <vt:lpwstr/>
      </vt:variant>
      <vt:variant>
        <vt:lpwstr>_Toc257068231</vt:lpwstr>
      </vt:variant>
      <vt:variant>
        <vt:i4>1638449</vt:i4>
      </vt:variant>
      <vt:variant>
        <vt:i4>170</vt:i4>
      </vt:variant>
      <vt:variant>
        <vt:i4>0</vt:i4>
      </vt:variant>
      <vt:variant>
        <vt:i4>5</vt:i4>
      </vt:variant>
      <vt:variant>
        <vt:lpwstr/>
      </vt:variant>
      <vt:variant>
        <vt:lpwstr>_Toc257068230</vt:lpwstr>
      </vt:variant>
      <vt:variant>
        <vt:i4>1572913</vt:i4>
      </vt:variant>
      <vt:variant>
        <vt:i4>164</vt:i4>
      </vt:variant>
      <vt:variant>
        <vt:i4>0</vt:i4>
      </vt:variant>
      <vt:variant>
        <vt:i4>5</vt:i4>
      </vt:variant>
      <vt:variant>
        <vt:lpwstr/>
      </vt:variant>
      <vt:variant>
        <vt:lpwstr>_Toc257068229</vt:lpwstr>
      </vt:variant>
      <vt:variant>
        <vt:i4>1572913</vt:i4>
      </vt:variant>
      <vt:variant>
        <vt:i4>158</vt:i4>
      </vt:variant>
      <vt:variant>
        <vt:i4>0</vt:i4>
      </vt:variant>
      <vt:variant>
        <vt:i4>5</vt:i4>
      </vt:variant>
      <vt:variant>
        <vt:lpwstr/>
      </vt:variant>
      <vt:variant>
        <vt:lpwstr>_Toc257068228</vt:lpwstr>
      </vt:variant>
      <vt:variant>
        <vt:i4>1572913</vt:i4>
      </vt:variant>
      <vt:variant>
        <vt:i4>152</vt:i4>
      </vt:variant>
      <vt:variant>
        <vt:i4>0</vt:i4>
      </vt:variant>
      <vt:variant>
        <vt:i4>5</vt:i4>
      </vt:variant>
      <vt:variant>
        <vt:lpwstr/>
      </vt:variant>
      <vt:variant>
        <vt:lpwstr>_Toc257068227</vt:lpwstr>
      </vt:variant>
      <vt:variant>
        <vt:i4>1572913</vt:i4>
      </vt:variant>
      <vt:variant>
        <vt:i4>146</vt:i4>
      </vt:variant>
      <vt:variant>
        <vt:i4>0</vt:i4>
      </vt:variant>
      <vt:variant>
        <vt:i4>5</vt:i4>
      </vt:variant>
      <vt:variant>
        <vt:lpwstr/>
      </vt:variant>
      <vt:variant>
        <vt:lpwstr>_Toc257068226</vt:lpwstr>
      </vt:variant>
      <vt:variant>
        <vt:i4>1572913</vt:i4>
      </vt:variant>
      <vt:variant>
        <vt:i4>140</vt:i4>
      </vt:variant>
      <vt:variant>
        <vt:i4>0</vt:i4>
      </vt:variant>
      <vt:variant>
        <vt:i4>5</vt:i4>
      </vt:variant>
      <vt:variant>
        <vt:lpwstr/>
      </vt:variant>
      <vt:variant>
        <vt:lpwstr>_Toc257068225</vt:lpwstr>
      </vt:variant>
      <vt:variant>
        <vt:i4>1572913</vt:i4>
      </vt:variant>
      <vt:variant>
        <vt:i4>134</vt:i4>
      </vt:variant>
      <vt:variant>
        <vt:i4>0</vt:i4>
      </vt:variant>
      <vt:variant>
        <vt:i4>5</vt:i4>
      </vt:variant>
      <vt:variant>
        <vt:lpwstr/>
      </vt:variant>
      <vt:variant>
        <vt:lpwstr>_Toc257068224</vt:lpwstr>
      </vt:variant>
      <vt:variant>
        <vt:i4>1572913</vt:i4>
      </vt:variant>
      <vt:variant>
        <vt:i4>128</vt:i4>
      </vt:variant>
      <vt:variant>
        <vt:i4>0</vt:i4>
      </vt:variant>
      <vt:variant>
        <vt:i4>5</vt:i4>
      </vt:variant>
      <vt:variant>
        <vt:lpwstr/>
      </vt:variant>
      <vt:variant>
        <vt:lpwstr>_Toc257068223</vt:lpwstr>
      </vt:variant>
      <vt:variant>
        <vt:i4>1572913</vt:i4>
      </vt:variant>
      <vt:variant>
        <vt:i4>122</vt:i4>
      </vt:variant>
      <vt:variant>
        <vt:i4>0</vt:i4>
      </vt:variant>
      <vt:variant>
        <vt:i4>5</vt:i4>
      </vt:variant>
      <vt:variant>
        <vt:lpwstr/>
      </vt:variant>
      <vt:variant>
        <vt:lpwstr>_Toc257068222</vt:lpwstr>
      </vt:variant>
      <vt:variant>
        <vt:i4>1572913</vt:i4>
      </vt:variant>
      <vt:variant>
        <vt:i4>116</vt:i4>
      </vt:variant>
      <vt:variant>
        <vt:i4>0</vt:i4>
      </vt:variant>
      <vt:variant>
        <vt:i4>5</vt:i4>
      </vt:variant>
      <vt:variant>
        <vt:lpwstr/>
      </vt:variant>
      <vt:variant>
        <vt:lpwstr>_Toc257068221</vt:lpwstr>
      </vt:variant>
      <vt:variant>
        <vt:i4>1572913</vt:i4>
      </vt:variant>
      <vt:variant>
        <vt:i4>110</vt:i4>
      </vt:variant>
      <vt:variant>
        <vt:i4>0</vt:i4>
      </vt:variant>
      <vt:variant>
        <vt:i4>5</vt:i4>
      </vt:variant>
      <vt:variant>
        <vt:lpwstr/>
      </vt:variant>
      <vt:variant>
        <vt:lpwstr>_Toc257068220</vt:lpwstr>
      </vt:variant>
      <vt:variant>
        <vt:i4>1769521</vt:i4>
      </vt:variant>
      <vt:variant>
        <vt:i4>104</vt:i4>
      </vt:variant>
      <vt:variant>
        <vt:i4>0</vt:i4>
      </vt:variant>
      <vt:variant>
        <vt:i4>5</vt:i4>
      </vt:variant>
      <vt:variant>
        <vt:lpwstr/>
      </vt:variant>
      <vt:variant>
        <vt:lpwstr>_Toc257068219</vt:lpwstr>
      </vt:variant>
      <vt:variant>
        <vt:i4>1769521</vt:i4>
      </vt:variant>
      <vt:variant>
        <vt:i4>98</vt:i4>
      </vt:variant>
      <vt:variant>
        <vt:i4>0</vt:i4>
      </vt:variant>
      <vt:variant>
        <vt:i4>5</vt:i4>
      </vt:variant>
      <vt:variant>
        <vt:lpwstr/>
      </vt:variant>
      <vt:variant>
        <vt:lpwstr>_Toc257068218</vt:lpwstr>
      </vt:variant>
      <vt:variant>
        <vt:i4>1769521</vt:i4>
      </vt:variant>
      <vt:variant>
        <vt:i4>92</vt:i4>
      </vt:variant>
      <vt:variant>
        <vt:i4>0</vt:i4>
      </vt:variant>
      <vt:variant>
        <vt:i4>5</vt:i4>
      </vt:variant>
      <vt:variant>
        <vt:lpwstr/>
      </vt:variant>
      <vt:variant>
        <vt:lpwstr>_Toc257068217</vt:lpwstr>
      </vt:variant>
      <vt:variant>
        <vt:i4>1245232</vt:i4>
      </vt:variant>
      <vt:variant>
        <vt:i4>83</vt:i4>
      </vt:variant>
      <vt:variant>
        <vt:i4>0</vt:i4>
      </vt:variant>
      <vt:variant>
        <vt:i4>5</vt:i4>
      </vt:variant>
      <vt:variant>
        <vt:lpwstr/>
      </vt:variant>
      <vt:variant>
        <vt:lpwstr>_Toc257626715</vt:lpwstr>
      </vt:variant>
      <vt:variant>
        <vt:i4>1245232</vt:i4>
      </vt:variant>
      <vt:variant>
        <vt:i4>77</vt:i4>
      </vt:variant>
      <vt:variant>
        <vt:i4>0</vt:i4>
      </vt:variant>
      <vt:variant>
        <vt:i4>5</vt:i4>
      </vt:variant>
      <vt:variant>
        <vt:lpwstr/>
      </vt:variant>
      <vt:variant>
        <vt:lpwstr>_Toc257626714</vt:lpwstr>
      </vt:variant>
      <vt:variant>
        <vt:i4>1245232</vt:i4>
      </vt:variant>
      <vt:variant>
        <vt:i4>71</vt:i4>
      </vt:variant>
      <vt:variant>
        <vt:i4>0</vt:i4>
      </vt:variant>
      <vt:variant>
        <vt:i4>5</vt:i4>
      </vt:variant>
      <vt:variant>
        <vt:lpwstr/>
      </vt:variant>
      <vt:variant>
        <vt:lpwstr>_Toc257626713</vt:lpwstr>
      </vt:variant>
      <vt:variant>
        <vt:i4>1245232</vt:i4>
      </vt:variant>
      <vt:variant>
        <vt:i4>65</vt:i4>
      </vt:variant>
      <vt:variant>
        <vt:i4>0</vt:i4>
      </vt:variant>
      <vt:variant>
        <vt:i4>5</vt:i4>
      </vt:variant>
      <vt:variant>
        <vt:lpwstr/>
      </vt:variant>
      <vt:variant>
        <vt:lpwstr>_Toc257626712</vt:lpwstr>
      </vt:variant>
      <vt:variant>
        <vt:i4>1245232</vt:i4>
      </vt:variant>
      <vt:variant>
        <vt:i4>59</vt:i4>
      </vt:variant>
      <vt:variant>
        <vt:i4>0</vt:i4>
      </vt:variant>
      <vt:variant>
        <vt:i4>5</vt:i4>
      </vt:variant>
      <vt:variant>
        <vt:lpwstr/>
      </vt:variant>
      <vt:variant>
        <vt:lpwstr>_Toc257626711</vt:lpwstr>
      </vt:variant>
      <vt:variant>
        <vt:i4>1245232</vt:i4>
      </vt:variant>
      <vt:variant>
        <vt:i4>53</vt:i4>
      </vt:variant>
      <vt:variant>
        <vt:i4>0</vt:i4>
      </vt:variant>
      <vt:variant>
        <vt:i4>5</vt:i4>
      </vt:variant>
      <vt:variant>
        <vt:lpwstr/>
      </vt:variant>
      <vt:variant>
        <vt:lpwstr>_Toc257626710</vt:lpwstr>
      </vt:variant>
      <vt:variant>
        <vt:i4>1179696</vt:i4>
      </vt:variant>
      <vt:variant>
        <vt:i4>47</vt:i4>
      </vt:variant>
      <vt:variant>
        <vt:i4>0</vt:i4>
      </vt:variant>
      <vt:variant>
        <vt:i4>5</vt:i4>
      </vt:variant>
      <vt:variant>
        <vt:lpwstr/>
      </vt:variant>
      <vt:variant>
        <vt:lpwstr>_Toc257626709</vt:lpwstr>
      </vt:variant>
      <vt:variant>
        <vt:i4>1179696</vt:i4>
      </vt:variant>
      <vt:variant>
        <vt:i4>41</vt:i4>
      </vt:variant>
      <vt:variant>
        <vt:i4>0</vt:i4>
      </vt:variant>
      <vt:variant>
        <vt:i4>5</vt:i4>
      </vt:variant>
      <vt:variant>
        <vt:lpwstr/>
      </vt:variant>
      <vt:variant>
        <vt:lpwstr>_Toc257626708</vt:lpwstr>
      </vt:variant>
      <vt:variant>
        <vt:i4>1179696</vt:i4>
      </vt:variant>
      <vt:variant>
        <vt:i4>35</vt:i4>
      </vt:variant>
      <vt:variant>
        <vt:i4>0</vt:i4>
      </vt:variant>
      <vt:variant>
        <vt:i4>5</vt:i4>
      </vt:variant>
      <vt:variant>
        <vt:lpwstr/>
      </vt:variant>
      <vt:variant>
        <vt:lpwstr>_Toc257626707</vt:lpwstr>
      </vt:variant>
      <vt:variant>
        <vt:i4>1179696</vt:i4>
      </vt:variant>
      <vt:variant>
        <vt:i4>29</vt:i4>
      </vt:variant>
      <vt:variant>
        <vt:i4>0</vt:i4>
      </vt:variant>
      <vt:variant>
        <vt:i4>5</vt:i4>
      </vt:variant>
      <vt:variant>
        <vt:lpwstr/>
      </vt:variant>
      <vt:variant>
        <vt:lpwstr>_Toc257626706</vt:lpwstr>
      </vt:variant>
      <vt:variant>
        <vt:i4>1179696</vt:i4>
      </vt:variant>
      <vt:variant>
        <vt:i4>23</vt:i4>
      </vt:variant>
      <vt:variant>
        <vt:i4>0</vt:i4>
      </vt:variant>
      <vt:variant>
        <vt:i4>5</vt:i4>
      </vt:variant>
      <vt:variant>
        <vt:lpwstr/>
      </vt:variant>
      <vt:variant>
        <vt:lpwstr>_Toc257626705</vt:lpwstr>
      </vt:variant>
      <vt:variant>
        <vt:i4>1179696</vt:i4>
      </vt:variant>
      <vt:variant>
        <vt:i4>17</vt:i4>
      </vt:variant>
      <vt:variant>
        <vt:i4>0</vt:i4>
      </vt:variant>
      <vt:variant>
        <vt:i4>5</vt:i4>
      </vt:variant>
      <vt:variant>
        <vt:lpwstr/>
      </vt:variant>
      <vt:variant>
        <vt:lpwstr>_Toc257626704</vt:lpwstr>
      </vt:variant>
      <vt:variant>
        <vt:i4>1179696</vt:i4>
      </vt:variant>
      <vt:variant>
        <vt:i4>11</vt:i4>
      </vt:variant>
      <vt:variant>
        <vt:i4>0</vt:i4>
      </vt:variant>
      <vt:variant>
        <vt:i4>5</vt:i4>
      </vt:variant>
      <vt:variant>
        <vt:lpwstr/>
      </vt:variant>
      <vt:variant>
        <vt:lpwstr>_Toc257626703</vt:lpwstr>
      </vt:variant>
      <vt:variant>
        <vt:i4>1179696</vt:i4>
      </vt:variant>
      <vt:variant>
        <vt:i4>5</vt:i4>
      </vt:variant>
      <vt:variant>
        <vt:i4>0</vt:i4>
      </vt:variant>
      <vt:variant>
        <vt:i4>5</vt:i4>
      </vt:variant>
      <vt:variant>
        <vt:lpwstr/>
      </vt:variant>
      <vt:variant>
        <vt:lpwstr>_Toc257626702</vt:lpwstr>
      </vt:variant>
      <vt:variant>
        <vt:i4>5832808</vt:i4>
      </vt:variant>
      <vt:variant>
        <vt:i4>0</vt:i4>
      </vt:variant>
      <vt:variant>
        <vt:i4>0</vt:i4>
      </vt:variant>
      <vt:variant>
        <vt:i4>5</vt:i4>
      </vt:variant>
      <vt:variant>
        <vt:lpwstr>mailto:sc.wj.coord@gmail.com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cp:lastModifiedBy>Neil Brighton</cp:lastModifiedBy>
  <cp:revision>4</cp:revision>
  <cp:lastPrinted>2010-04-07T08:04:00Z</cp:lastPrinted>
  <dcterms:created xsi:type="dcterms:W3CDTF">2010-04-07T15:24:00Z</dcterms:created>
  <dcterms:modified xsi:type="dcterms:W3CDTF">2010-04-07T15:31:00Z</dcterms:modified>
</cp:coreProperties>
</file>